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ascii="新宋体" w:hAnsi="新宋体" w:eastAsia="新宋体" w:cs="新宋体"/>
          <w:color w:val="auto"/>
          <w:highlight w:val="none"/>
        </w:rPr>
      </w:pPr>
      <w:bookmarkStart w:id="0" w:name="_Toc478897898"/>
      <w:bookmarkStart w:id="1" w:name="_Toc464401350"/>
      <w:bookmarkStart w:id="2" w:name="_Toc464397397"/>
      <w:bookmarkStart w:id="3" w:name="_Toc463071331"/>
      <w:bookmarkStart w:id="4" w:name="_Toc463067500"/>
      <w:bookmarkStart w:id="5" w:name="_Toc478889380"/>
      <w:bookmarkStart w:id="6" w:name="_Toc464457642"/>
      <w:bookmarkStart w:id="7" w:name="_Toc467034198"/>
      <w:bookmarkStart w:id="8" w:name="_Toc463071784"/>
      <w:bookmarkStart w:id="9" w:name="_Toc462486136"/>
      <w:bookmarkStart w:id="10" w:name="_Toc464451503"/>
      <w:bookmarkStart w:id="11" w:name="_Toc462487361"/>
      <w:bookmarkStart w:id="12" w:name="_Toc466974276"/>
    </w:p>
    <w:p>
      <w:pPr>
        <w:pStyle w:val="9"/>
        <w:jc w:val="center"/>
        <w:rPr>
          <w:rFonts w:ascii="新宋体" w:hAnsi="新宋体" w:eastAsia="新宋体" w:cs="新宋体"/>
          <w:color w:val="auto"/>
          <w:highlight w:val="none"/>
        </w:rPr>
      </w:pPr>
    </w:p>
    <w:p>
      <w:pPr>
        <w:pStyle w:val="9"/>
        <w:jc w:val="center"/>
        <w:rPr>
          <w:rFonts w:hAnsi="宋体" w:cs="宋体"/>
          <w:b/>
          <w:color w:val="auto"/>
          <w:spacing w:val="-18"/>
          <w:sz w:val="72"/>
          <w:szCs w:val="72"/>
          <w:highlight w:val="none"/>
        </w:rPr>
      </w:pPr>
      <w:r>
        <w:rPr>
          <w:rFonts w:hint="eastAsia" w:hAnsi="宋体" w:cs="宋体"/>
          <w:b/>
          <w:color w:val="auto"/>
          <w:spacing w:val="-18"/>
          <w:sz w:val="72"/>
          <w:szCs w:val="72"/>
          <w:highlight w:val="none"/>
        </w:rPr>
        <w:drawing>
          <wp:inline distT="0" distB="0" distL="114300" distR="114300">
            <wp:extent cx="6098540" cy="2178050"/>
            <wp:effectExtent l="0" t="0" r="12700" b="1270"/>
            <wp:docPr id="1" name="图片 1" descr="祥立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祥立图标"/>
                    <pic:cNvPicPr>
                      <a:picLocks noChangeAspect="1"/>
                    </pic:cNvPicPr>
                  </pic:nvPicPr>
                  <pic:blipFill>
                    <a:blip r:embed="rId23" cstate="print"/>
                    <a:stretch>
                      <a:fillRect/>
                    </a:stretch>
                  </pic:blipFill>
                  <pic:spPr>
                    <a:xfrm>
                      <a:off x="0" y="0"/>
                      <a:ext cx="6098540" cy="2178050"/>
                    </a:xfrm>
                    <a:prstGeom prst="rect">
                      <a:avLst/>
                    </a:prstGeom>
                    <a:noFill/>
                    <a:ln w="9525">
                      <a:noFill/>
                    </a:ln>
                  </pic:spPr>
                </pic:pic>
              </a:graphicData>
            </a:graphic>
          </wp:inline>
        </w:drawing>
      </w:r>
    </w:p>
    <w:p>
      <w:pPr>
        <w:rPr>
          <w:rFonts w:ascii="宋体" w:hAnsi="宋体" w:cs="宋体"/>
          <w:color w:val="auto"/>
          <w:sz w:val="84"/>
          <w:szCs w:val="84"/>
          <w:highlight w:val="none"/>
        </w:rPr>
      </w:pPr>
    </w:p>
    <w:p>
      <w:pPr>
        <w:pStyle w:val="9"/>
        <w:jc w:val="center"/>
        <w:rPr>
          <w:rFonts w:hAnsi="宋体" w:cs="宋体"/>
          <w:b/>
          <w:color w:val="auto"/>
          <w:sz w:val="32"/>
          <w:szCs w:val="32"/>
          <w:highlight w:val="none"/>
        </w:rPr>
      </w:pPr>
      <w:r>
        <w:rPr>
          <w:rFonts w:hint="eastAsia" w:hAnsi="宋体" w:cs="宋体"/>
          <w:b/>
          <w:color w:val="auto"/>
          <w:sz w:val="84"/>
          <w:szCs w:val="84"/>
          <w:highlight w:val="none"/>
        </w:rPr>
        <w:t>竞争性谈判采购文件</w:t>
      </w:r>
    </w:p>
    <w:p>
      <w:pPr>
        <w:rPr>
          <w:rFonts w:ascii="宋体" w:hAnsi="宋体" w:cs="宋体"/>
          <w:b/>
          <w:color w:val="auto"/>
          <w:sz w:val="32"/>
          <w:szCs w:val="32"/>
          <w:highlight w:val="none"/>
        </w:rPr>
      </w:pPr>
    </w:p>
    <w:p>
      <w:pPr>
        <w:ind w:left="1928" w:hanging="1928" w:hangingChars="600"/>
        <w:rPr>
          <w:rFonts w:ascii="宋体" w:hAnsi="宋体" w:cs="宋体"/>
          <w:b/>
          <w:color w:val="auto"/>
          <w:sz w:val="32"/>
          <w:szCs w:val="32"/>
          <w:highlight w:val="none"/>
        </w:rPr>
      </w:pPr>
    </w:p>
    <w:p>
      <w:pPr>
        <w:ind w:left="1928" w:hanging="1928" w:hangingChars="600"/>
        <w:rPr>
          <w:rFonts w:ascii="宋体" w:hAnsi="宋体" w:cs="宋体"/>
          <w:b/>
          <w:color w:val="auto"/>
          <w:sz w:val="32"/>
          <w:szCs w:val="32"/>
          <w:highlight w:val="none"/>
        </w:rPr>
      </w:pPr>
    </w:p>
    <w:p>
      <w:pPr>
        <w:ind w:left="1928" w:hanging="1928" w:hangingChars="600"/>
        <w:rPr>
          <w:rFonts w:ascii="宋体" w:hAnsi="宋体" w:cs="宋体"/>
          <w:b/>
          <w:color w:val="auto"/>
          <w:sz w:val="32"/>
          <w:szCs w:val="32"/>
          <w:highlight w:val="none"/>
        </w:rPr>
      </w:pPr>
    </w:p>
    <w:p>
      <w:pPr>
        <w:spacing w:line="360" w:lineRule="auto"/>
        <w:rPr>
          <w:rFonts w:ascii="宋体" w:hAnsi="宋体" w:cs="宋体"/>
          <w:b/>
          <w:color w:val="auto"/>
          <w:sz w:val="32"/>
          <w:szCs w:val="32"/>
          <w:highlight w:val="none"/>
        </w:rPr>
      </w:pPr>
    </w:p>
    <w:p>
      <w:pPr>
        <w:spacing w:line="360" w:lineRule="auto"/>
        <w:ind w:left="2244" w:leftChars="304" w:hanging="1606" w:hangingChars="500"/>
        <w:rPr>
          <w:rFonts w:ascii="宋体" w:hAnsi="宋体" w:cs="宋体"/>
          <w:b/>
          <w:color w:val="auto"/>
          <w:sz w:val="32"/>
          <w:szCs w:val="32"/>
          <w:highlight w:val="none"/>
        </w:rPr>
      </w:pPr>
      <w:r>
        <w:rPr>
          <w:rFonts w:hint="eastAsia" w:ascii="宋体" w:hAnsi="宋体" w:cs="宋体"/>
          <w:b/>
          <w:color w:val="auto"/>
          <w:sz w:val="32"/>
          <w:szCs w:val="32"/>
          <w:highlight w:val="none"/>
        </w:rPr>
        <w:t>项目名称：</w:t>
      </w:r>
      <w:r>
        <w:rPr>
          <w:rFonts w:hint="eastAsia" w:ascii="宋体" w:hAnsi="宋体" w:cs="宋体"/>
          <w:b/>
          <w:color w:val="auto"/>
          <w:sz w:val="32"/>
          <w:szCs w:val="32"/>
          <w:highlight w:val="none"/>
          <w:u w:val="single"/>
        </w:rPr>
        <w:t>法院移动办公办案终端及基础数据流量租用服务采购项目</w:t>
      </w:r>
    </w:p>
    <w:p>
      <w:pPr>
        <w:spacing w:line="360" w:lineRule="auto"/>
        <w:ind w:left="1" w:firstLine="643" w:firstLineChars="200"/>
        <w:rPr>
          <w:rFonts w:ascii="宋体" w:hAnsi="宋体" w:cs="宋体"/>
          <w:b/>
          <w:color w:val="auto"/>
          <w:sz w:val="32"/>
          <w:szCs w:val="32"/>
          <w:highlight w:val="none"/>
          <w:u w:val="single"/>
        </w:rPr>
      </w:pPr>
      <w:r>
        <w:rPr>
          <w:rFonts w:hint="eastAsia" w:ascii="宋体" w:hAnsi="宋体" w:cs="宋体"/>
          <w:b/>
          <w:color w:val="auto"/>
          <w:sz w:val="32"/>
          <w:szCs w:val="32"/>
          <w:highlight w:val="none"/>
        </w:rPr>
        <w:t>项目编号：</w:t>
      </w:r>
      <w:r>
        <w:rPr>
          <w:rFonts w:hint="eastAsia" w:ascii="宋体" w:hAnsi="宋体" w:cs="宋体"/>
          <w:b/>
          <w:color w:val="auto"/>
          <w:sz w:val="32"/>
          <w:szCs w:val="32"/>
          <w:highlight w:val="none"/>
          <w:u w:val="single"/>
        </w:rPr>
        <w:t>HCZC2019-J3-50001-GXXL</w:t>
      </w:r>
    </w:p>
    <w:p>
      <w:pPr>
        <w:spacing w:line="360" w:lineRule="auto"/>
        <w:ind w:firstLine="643" w:firstLineChars="200"/>
        <w:jc w:val="left"/>
        <w:rPr>
          <w:rFonts w:ascii="宋体" w:hAnsi="宋体" w:cs="宋体"/>
          <w:b/>
          <w:color w:val="auto"/>
          <w:sz w:val="32"/>
          <w:szCs w:val="32"/>
          <w:highlight w:val="none"/>
        </w:rPr>
      </w:pPr>
      <w:r>
        <w:rPr>
          <w:rFonts w:hint="eastAsia" w:ascii="宋体" w:hAnsi="宋体" w:cs="宋体"/>
          <w:b/>
          <w:color w:val="auto"/>
          <w:sz w:val="32"/>
          <w:szCs w:val="32"/>
          <w:highlight w:val="none"/>
        </w:rPr>
        <w:t>采购单位：</w:t>
      </w:r>
      <w:r>
        <w:rPr>
          <w:rFonts w:hint="eastAsia" w:ascii="宋体" w:hAnsi="宋体" w:cs="宋体"/>
          <w:b/>
          <w:color w:val="auto"/>
          <w:sz w:val="32"/>
          <w:szCs w:val="32"/>
          <w:highlight w:val="none"/>
          <w:u w:val="single"/>
        </w:rPr>
        <w:t>东兰县人民法院</w:t>
      </w:r>
    </w:p>
    <w:p>
      <w:pPr>
        <w:spacing w:line="360" w:lineRule="auto"/>
        <w:ind w:firstLine="643" w:firstLineChars="200"/>
        <w:jc w:val="left"/>
        <w:rPr>
          <w:rFonts w:ascii="宋体" w:hAnsi="宋体" w:cs="宋体"/>
          <w:b/>
          <w:color w:val="auto"/>
          <w:sz w:val="32"/>
          <w:szCs w:val="32"/>
          <w:highlight w:val="none"/>
        </w:rPr>
      </w:pPr>
      <w:r>
        <w:rPr>
          <w:rFonts w:hint="eastAsia" w:ascii="宋体" w:hAnsi="宋体" w:cs="宋体"/>
          <w:b/>
          <w:color w:val="auto"/>
          <w:sz w:val="32"/>
          <w:szCs w:val="32"/>
          <w:highlight w:val="none"/>
        </w:rPr>
        <w:t>采购代理机构：</w:t>
      </w:r>
      <w:r>
        <w:rPr>
          <w:rFonts w:hint="eastAsia" w:ascii="宋体" w:hAnsi="宋体" w:cs="宋体"/>
          <w:b/>
          <w:color w:val="auto"/>
          <w:sz w:val="32"/>
          <w:szCs w:val="32"/>
          <w:highlight w:val="none"/>
          <w:u w:val="single"/>
        </w:rPr>
        <w:t>广西祥立工程咨询有限责任公司</w:t>
      </w:r>
    </w:p>
    <w:p>
      <w:pPr>
        <w:spacing w:line="360" w:lineRule="auto"/>
        <w:ind w:firstLine="643" w:firstLineChars="200"/>
        <w:jc w:val="center"/>
        <w:rPr>
          <w:rFonts w:hint="eastAsia" w:ascii="宋体" w:hAnsi="宋体" w:cs="宋体"/>
          <w:b/>
          <w:color w:val="auto"/>
          <w:sz w:val="32"/>
          <w:szCs w:val="32"/>
          <w:highlight w:val="none"/>
        </w:rPr>
      </w:pPr>
    </w:p>
    <w:p>
      <w:pPr>
        <w:spacing w:line="360" w:lineRule="auto"/>
        <w:ind w:firstLine="643" w:firstLineChars="200"/>
        <w:jc w:val="center"/>
        <w:rPr>
          <w:rFonts w:ascii="宋体" w:hAnsi="宋体" w:cs="宋体"/>
          <w:b/>
          <w:color w:val="auto"/>
          <w:sz w:val="32"/>
          <w:szCs w:val="32"/>
          <w:highlight w:val="none"/>
        </w:rPr>
      </w:pPr>
      <w:r>
        <w:rPr>
          <w:rFonts w:hint="eastAsia" w:ascii="宋体" w:hAnsi="宋体" w:cs="宋体"/>
          <w:b/>
          <w:color w:val="auto"/>
          <w:sz w:val="32"/>
          <w:szCs w:val="32"/>
          <w:highlight w:val="none"/>
        </w:rPr>
        <w:t>日    期：</w:t>
      </w:r>
      <w:r>
        <w:rPr>
          <w:rFonts w:hint="eastAsia" w:ascii="宋体" w:hAnsi="宋体" w:cs="宋体"/>
          <w:b/>
          <w:color w:val="auto"/>
          <w:sz w:val="32"/>
          <w:szCs w:val="32"/>
          <w:highlight w:val="none"/>
          <w:u w:val="single"/>
        </w:rPr>
        <w:t>二○一九年八月</w:t>
      </w:r>
    </w:p>
    <w:p>
      <w:pPr>
        <w:spacing w:line="360" w:lineRule="auto"/>
        <w:ind w:firstLine="643" w:firstLineChars="200"/>
        <w:jc w:val="left"/>
        <w:rPr>
          <w:rFonts w:ascii="宋体" w:hAnsi="宋体" w:cs="宋体"/>
          <w:b/>
          <w:color w:val="auto"/>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936" w:right="1191" w:bottom="1247" w:left="1304" w:header="851" w:footer="851" w:gutter="0"/>
          <w:pgNumType w:start="0"/>
          <w:cols w:space="720" w:num="1"/>
          <w:titlePg/>
          <w:docGrid w:linePitch="407" w:charSpace="-6144"/>
        </w:sectPr>
      </w:pPr>
    </w:p>
    <w:bookmarkEnd w:id="0"/>
    <w:bookmarkEnd w:id="1"/>
    <w:bookmarkEnd w:id="2"/>
    <w:bookmarkEnd w:id="3"/>
    <w:bookmarkEnd w:id="4"/>
    <w:bookmarkEnd w:id="5"/>
    <w:bookmarkEnd w:id="6"/>
    <w:bookmarkEnd w:id="7"/>
    <w:bookmarkEnd w:id="8"/>
    <w:bookmarkEnd w:id="9"/>
    <w:bookmarkEnd w:id="10"/>
    <w:bookmarkEnd w:id="11"/>
    <w:bookmarkEnd w:id="12"/>
    <w:p>
      <w:pPr>
        <w:pStyle w:val="9"/>
        <w:tabs>
          <w:tab w:val="center" w:pos="4156"/>
          <w:tab w:val="left" w:pos="4995"/>
        </w:tabs>
        <w:spacing w:line="300" w:lineRule="exact"/>
        <w:jc w:val="center"/>
        <w:rPr>
          <w:rFonts w:ascii="新宋体" w:hAnsi="新宋体" w:eastAsia="新宋体" w:cs="新宋体"/>
          <w:color w:val="auto"/>
          <w:sz w:val="24"/>
          <w:highlight w:val="none"/>
        </w:rPr>
      </w:pPr>
      <w:r>
        <w:rPr>
          <w:rFonts w:hint="eastAsia" w:ascii="新宋体" w:hAnsi="新宋体" w:eastAsia="新宋体" w:cs="新宋体"/>
          <w:b/>
          <w:color w:val="auto"/>
          <w:sz w:val="28"/>
          <w:szCs w:val="28"/>
          <w:highlight w:val="none"/>
        </w:rPr>
        <w:t>目  录</w:t>
      </w:r>
    </w:p>
    <w:p>
      <w:pPr>
        <w:rPr>
          <w:color w:val="auto"/>
          <w:highlight w:val="none"/>
        </w:rPr>
      </w:pPr>
    </w:p>
    <w:p>
      <w:pPr>
        <w:pStyle w:val="13"/>
        <w:tabs>
          <w:tab w:val="right" w:leader="dot" w:pos="8306"/>
          <w:tab w:val="clear" w:pos="8280"/>
        </w:tabs>
        <w:ind w:left="2505" w:hanging="1285"/>
        <w:rPr>
          <w:color w:val="auto"/>
          <w:highlight w:val="none"/>
        </w:rPr>
      </w:pPr>
      <w:r>
        <w:rPr>
          <w:color w:val="auto"/>
          <w:highlight w:val="none"/>
        </w:rPr>
        <w:fldChar w:fldCharType="begin"/>
      </w:r>
      <w:r>
        <w:rPr>
          <w:color w:val="auto"/>
          <w:highlight w:val="none"/>
        </w:rPr>
        <w:instrText xml:space="preserve">TOC \o "1-1" \h \u </w:instrText>
      </w:r>
      <w:r>
        <w:rPr>
          <w:color w:val="auto"/>
          <w:highlight w:val="none"/>
        </w:rPr>
        <w:fldChar w:fldCharType="separate"/>
      </w:r>
      <w:r>
        <w:rPr>
          <w:color w:val="auto"/>
          <w:highlight w:val="none"/>
        </w:rPr>
        <w:fldChar w:fldCharType="begin"/>
      </w:r>
      <w:r>
        <w:rPr>
          <w:color w:val="auto"/>
          <w:highlight w:val="none"/>
        </w:rPr>
        <w:instrText xml:space="preserve"> HYPERLINK \l "_Toc28616" </w:instrText>
      </w:r>
      <w:r>
        <w:rPr>
          <w:color w:val="auto"/>
          <w:highlight w:val="none"/>
        </w:rPr>
        <w:fldChar w:fldCharType="separate"/>
      </w:r>
      <w:r>
        <w:rPr>
          <w:rFonts w:hint="eastAsia"/>
          <w:color w:val="auto"/>
          <w:highlight w:val="none"/>
        </w:rPr>
        <w:t>第一章 竞争性谈判公告</w:t>
      </w:r>
      <w:r>
        <w:rPr>
          <w:color w:val="auto"/>
          <w:highlight w:val="none"/>
        </w:rPr>
        <w:tab/>
      </w:r>
      <w:r>
        <w:rPr>
          <w:color w:val="auto"/>
          <w:highlight w:val="none"/>
        </w:rPr>
        <w:fldChar w:fldCharType="begin"/>
      </w:r>
      <w:r>
        <w:rPr>
          <w:color w:val="auto"/>
          <w:highlight w:val="none"/>
        </w:rPr>
        <w:instrText xml:space="preserve"> PAGEREF _Toc28616 </w:instrText>
      </w:r>
      <w:r>
        <w:rPr>
          <w:color w:val="auto"/>
          <w:highlight w:val="none"/>
        </w:rPr>
        <w:fldChar w:fldCharType="separate"/>
      </w:r>
      <w:r>
        <w:rPr>
          <w:color w:val="auto"/>
          <w:highlight w:val="none"/>
        </w:rPr>
        <w:t>1</w:t>
      </w:r>
      <w:r>
        <w:rPr>
          <w:color w:val="auto"/>
          <w:highlight w:val="none"/>
        </w:rPr>
        <w:fldChar w:fldCharType="end"/>
      </w:r>
      <w:r>
        <w:rPr>
          <w:color w:val="auto"/>
          <w:highlight w:val="none"/>
        </w:rPr>
        <w:fldChar w:fldCharType="end"/>
      </w:r>
    </w:p>
    <w:p>
      <w:pPr>
        <w:pStyle w:val="13"/>
        <w:tabs>
          <w:tab w:val="right" w:leader="dot" w:pos="8306"/>
          <w:tab w:val="clear" w:pos="8280"/>
        </w:tabs>
        <w:ind w:left="2505" w:hanging="1285"/>
        <w:rPr>
          <w:color w:val="auto"/>
          <w:highlight w:val="none"/>
        </w:rPr>
      </w:pPr>
      <w:r>
        <w:rPr>
          <w:color w:val="auto"/>
          <w:highlight w:val="none"/>
        </w:rPr>
        <w:fldChar w:fldCharType="begin"/>
      </w:r>
      <w:r>
        <w:rPr>
          <w:color w:val="auto"/>
          <w:highlight w:val="none"/>
        </w:rPr>
        <w:instrText xml:space="preserve"> HYPERLINK \l "_Toc10554" </w:instrText>
      </w:r>
      <w:r>
        <w:rPr>
          <w:color w:val="auto"/>
          <w:highlight w:val="none"/>
        </w:rPr>
        <w:fldChar w:fldCharType="separate"/>
      </w:r>
      <w:r>
        <w:rPr>
          <w:rFonts w:hint="eastAsia"/>
          <w:color w:val="auto"/>
          <w:highlight w:val="none"/>
        </w:rPr>
        <w:t>第二章 竞标人须知及前附表</w:t>
      </w:r>
      <w:r>
        <w:rPr>
          <w:color w:val="auto"/>
          <w:highlight w:val="none"/>
        </w:rPr>
        <w:tab/>
      </w:r>
      <w:r>
        <w:rPr>
          <w:color w:val="auto"/>
          <w:highlight w:val="none"/>
        </w:rPr>
        <w:fldChar w:fldCharType="begin"/>
      </w:r>
      <w:r>
        <w:rPr>
          <w:color w:val="auto"/>
          <w:highlight w:val="none"/>
        </w:rPr>
        <w:instrText xml:space="preserve"> PAGEREF _Toc10554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13"/>
        <w:tabs>
          <w:tab w:val="right" w:leader="dot" w:pos="8306"/>
          <w:tab w:val="clear" w:pos="8280"/>
        </w:tabs>
        <w:ind w:left="2505" w:hanging="1285"/>
        <w:rPr>
          <w:rFonts w:hint="eastAsia" w:eastAsia="宋体"/>
          <w:color w:val="auto"/>
          <w:highlight w:val="none"/>
          <w:lang w:val="en-US" w:eastAsia="zh-CN"/>
        </w:rPr>
      </w:pPr>
      <w:r>
        <w:rPr>
          <w:color w:val="auto"/>
          <w:highlight w:val="none"/>
        </w:rPr>
        <w:fldChar w:fldCharType="begin"/>
      </w:r>
      <w:r>
        <w:rPr>
          <w:color w:val="auto"/>
          <w:highlight w:val="none"/>
        </w:rPr>
        <w:instrText xml:space="preserve"> HYPERLINK \l "_Toc23046" </w:instrText>
      </w:r>
      <w:r>
        <w:rPr>
          <w:color w:val="auto"/>
          <w:highlight w:val="none"/>
        </w:rPr>
        <w:fldChar w:fldCharType="separate"/>
      </w:r>
      <w:r>
        <w:rPr>
          <w:rStyle w:val="17"/>
          <w:rFonts w:hint="eastAsia"/>
          <w:color w:val="auto"/>
          <w:highlight w:val="none"/>
        </w:rPr>
        <w:t>第三章 评标办法</w:t>
      </w:r>
      <w:r>
        <w:rPr>
          <w:rStyle w:val="17"/>
          <w:color w:val="auto"/>
          <w:highlight w:val="none"/>
        </w:rPr>
        <w:tab/>
      </w:r>
      <w:r>
        <w:rPr>
          <w:rStyle w:val="17"/>
          <w:rFonts w:hint="eastAsia"/>
          <w:color w:val="auto"/>
          <w:highlight w:val="none"/>
          <w:lang w:val="en-US" w:eastAsia="zh-CN"/>
        </w:rPr>
        <w:t>1</w:t>
      </w:r>
      <w:r>
        <w:rPr>
          <w:rStyle w:val="17"/>
          <w:color w:val="auto"/>
          <w:highlight w:val="none"/>
        </w:rPr>
        <w:fldChar w:fldCharType="end"/>
      </w:r>
      <w:r>
        <w:rPr>
          <w:rStyle w:val="17"/>
          <w:rFonts w:hint="eastAsia"/>
          <w:color w:val="auto"/>
          <w:highlight w:val="none"/>
          <w:lang w:val="en-US" w:eastAsia="zh-CN"/>
        </w:rPr>
        <w:t>4</w:t>
      </w:r>
    </w:p>
    <w:p>
      <w:pPr>
        <w:pStyle w:val="13"/>
        <w:tabs>
          <w:tab w:val="right" w:leader="dot" w:pos="8306"/>
          <w:tab w:val="clear" w:pos="8280"/>
        </w:tabs>
        <w:ind w:left="2505" w:hanging="1285"/>
        <w:rPr>
          <w:rFonts w:hint="eastAsia" w:eastAsia="宋体"/>
          <w:color w:val="auto"/>
          <w:highlight w:val="none"/>
          <w:lang w:val="en-US" w:eastAsia="zh-CN"/>
        </w:rPr>
      </w:pPr>
      <w:r>
        <w:rPr>
          <w:color w:val="auto"/>
          <w:highlight w:val="none"/>
        </w:rPr>
        <w:fldChar w:fldCharType="begin"/>
      </w:r>
      <w:r>
        <w:rPr>
          <w:color w:val="auto"/>
          <w:highlight w:val="none"/>
        </w:rPr>
        <w:instrText xml:space="preserve"> HYPERLINK \l "_Toc23046" </w:instrText>
      </w:r>
      <w:r>
        <w:rPr>
          <w:color w:val="auto"/>
          <w:highlight w:val="none"/>
        </w:rPr>
        <w:fldChar w:fldCharType="separate"/>
      </w:r>
      <w:r>
        <w:rPr>
          <w:rStyle w:val="17"/>
          <w:rFonts w:hint="eastAsia"/>
          <w:color w:val="auto"/>
          <w:highlight w:val="none"/>
        </w:rPr>
        <w:t xml:space="preserve">第四章 </w:t>
      </w:r>
      <w:r>
        <w:rPr>
          <w:rStyle w:val="17"/>
          <w:rFonts w:hint="eastAsia"/>
          <w:color w:val="auto"/>
          <w:highlight w:val="none"/>
          <w:lang w:eastAsia="zh-CN"/>
        </w:rPr>
        <w:t>谈判采购技术规格、参数及要求</w:t>
      </w:r>
      <w:r>
        <w:rPr>
          <w:rStyle w:val="17"/>
          <w:color w:val="auto"/>
          <w:highlight w:val="none"/>
        </w:rPr>
        <w:tab/>
      </w:r>
      <w:r>
        <w:rPr>
          <w:rStyle w:val="17"/>
          <w:rFonts w:hint="eastAsia"/>
          <w:color w:val="auto"/>
          <w:highlight w:val="none"/>
          <w:lang w:val="en-US" w:eastAsia="zh-CN"/>
        </w:rPr>
        <w:t>1</w:t>
      </w:r>
      <w:r>
        <w:rPr>
          <w:rStyle w:val="17"/>
          <w:rFonts w:hint="eastAsia"/>
          <w:color w:val="auto"/>
          <w:highlight w:val="none"/>
        </w:rPr>
        <w:fldChar w:fldCharType="end"/>
      </w:r>
      <w:r>
        <w:rPr>
          <w:rStyle w:val="17"/>
          <w:rFonts w:hint="eastAsia"/>
          <w:color w:val="auto"/>
          <w:highlight w:val="none"/>
          <w:lang w:val="en-US" w:eastAsia="zh-CN"/>
        </w:rPr>
        <w:t>5</w:t>
      </w:r>
    </w:p>
    <w:p>
      <w:pPr>
        <w:pStyle w:val="13"/>
        <w:tabs>
          <w:tab w:val="right" w:leader="dot" w:pos="8306"/>
          <w:tab w:val="clear" w:pos="8280"/>
        </w:tabs>
        <w:ind w:left="2505" w:hanging="1285"/>
        <w:rPr>
          <w:rFonts w:hint="eastAsia" w:eastAsia="宋体"/>
          <w:color w:val="auto"/>
          <w:highlight w:val="none"/>
          <w:lang w:val="en-US" w:eastAsia="zh-CN"/>
        </w:rPr>
      </w:pPr>
      <w:r>
        <w:rPr>
          <w:color w:val="auto"/>
          <w:highlight w:val="none"/>
        </w:rPr>
        <w:fldChar w:fldCharType="begin"/>
      </w:r>
      <w:r>
        <w:rPr>
          <w:color w:val="auto"/>
          <w:highlight w:val="none"/>
        </w:rPr>
        <w:instrText xml:space="preserve"> HYPERLINK \l "_Toc6379" </w:instrText>
      </w:r>
      <w:r>
        <w:rPr>
          <w:color w:val="auto"/>
          <w:highlight w:val="none"/>
        </w:rPr>
        <w:fldChar w:fldCharType="separate"/>
      </w:r>
      <w:r>
        <w:rPr>
          <w:rFonts w:hint="eastAsia"/>
          <w:color w:val="auto"/>
          <w:highlight w:val="none"/>
        </w:rPr>
        <w:t xml:space="preserve">第五章 </w:t>
      </w:r>
      <w:r>
        <w:rPr>
          <w:bCs w:val="0"/>
          <w:color w:val="auto"/>
          <w:szCs w:val="28"/>
          <w:highlight w:val="none"/>
        </w:rPr>
        <w:t>谈判响应文件基本格式</w:t>
      </w:r>
      <w:r>
        <w:rPr>
          <w:color w:val="auto"/>
          <w:highlight w:val="none"/>
        </w:rPr>
        <w:tab/>
      </w:r>
      <w:r>
        <w:rPr>
          <w:rFonts w:hint="eastAsia"/>
          <w:color w:val="auto"/>
          <w:highlight w:val="none"/>
          <w:lang w:val="en-US" w:eastAsia="zh-CN"/>
        </w:rPr>
        <w:t>1</w:t>
      </w:r>
      <w:r>
        <w:rPr>
          <w:rFonts w:hint="eastAsia"/>
          <w:color w:val="auto"/>
          <w:highlight w:val="none"/>
        </w:rPr>
        <w:fldChar w:fldCharType="end"/>
      </w:r>
      <w:r>
        <w:rPr>
          <w:rFonts w:hint="eastAsia"/>
          <w:color w:val="auto"/>
          <w:highlight w:val="none"/>
          <w:lang w:val="en-US" w:eastAsia="zh-CN"/>
        </w:rPr>
        <w:t>8</w:t>
      </w:r>
    </w:p>
    <w:p>
      <w:pPr>
        <w:pStyle w:val="13"/>
        <w:tabs>
          <w:tab w:val="right" w:leader="dot" w:pos="8306"/>
          <w:tab w:val="clear" w:pos="8280"/>
        </w:tabs>
        <w:ind w:left="2505" w:hanging="1285"/>
        <w:rPr>
          <w:rStyle w:val="17"/>
          <w:rFonts w:hint="eastAsia" w:eastAsia="宋体"/>
          <w:color w:val="auto"/>
          <w:highlight w:val="none"/>
          <w:lang w:val="en-US" w:eastAsia="zh-CN"/>
        </w:rPr>
      </w:pPr>
      <w:r>
        <w:rPr>
          <w:color w:val="auto"/>
          <w:highlight w:val="none"/>
        </w:rPr>
        <w:fldChar w:fldCharType="begin"/>
      </w:r>
      <w:r>
        <w:rPr>
          <w:color w:val="auto"/>
          <w:highlight w:val="none"/>
        </w:rPr>
        <w:instrText xml:space="preserve"> HYPERLINK \l "_Toc28241" </w:instrText>
      </w:r>
      <w:r>
        <w:rPr>
          <w:color w:val="auto"/>
          <w:highlight w:val="none"/>
        </w:rPr>
        <w:fldChar w:fldCharType="separate"/>
      </w:r>
      <w:r>
        <w:rPr>
          <w:rStyle w:val="17"/>
          <w:rFonts w:hint="eastAsia"/>
          <w:color w:val="auto"/>
          <w:highlight w:val="none"/>
        </w:rPr>
        <w:t xml:space="preserve">第六章 </w:t>
      </w:r>
      <w:r>
        <w:rPr>
          <w:rStyle w:val="17"/>
          <w:color w:val="auto"/>
          <w:kern w:val="0"/>
          <w:highlight w:val="none"/>
        </w:rPr>
        <w:t>政府采购合同（格式）</w:t>
      </w:r>
      <w:r>
        <w:rPr>
          <w:rStyle w:val="17"/>
          <w:color w:val="auto"/>
          <w:highlight w:val="none"/>
        </w:rPr>
        <w:tab/>
      </w:r>
      <w:r>
        <w:rPr>
          <w:rStyle w:val="17"/>
          <w:rFonts w:hint="eastAsia"/>
          <w:color w:val="auto"/>
          <w:highlight w:val="none"/>
          <w:lang w:val="en-US" w:eastAsia="zh-CN"/>
        </w:rPr>
        <w:t>2</w:t>
      </w:r>
      <w:r>
        <w:rPr>
          <w:rStyle w:val="17"/>
          <w:rFonts w:hint="eastAsia"/>
          <w:color w:val="auto"/>
          <w:highlight w:val="none"/>
        </w:rPr>
        <w:fldChar w:fldCharType="end"/>
      </w:r>
      <w:r>
        <w:rPr>
          <w:rStyle w:val="17"/>
          <w:rFonts w:hint="eastAsia"/>
          <w:color w:val="auto"/>
          <w:highlight w:val="none"/>
          <w:lang w:val="en-US" w:eastAsia="zh-CN"/>
        </w:rPr>
        <w:t>5</w:t>
      </w:r>
    </w:p>
    <w:p>
      <w:pPr>
        <w:pStyle w:val="13"/>
        <w:tabs>
          <w:tab w:val="right" w:leader="dot" w:pos="8306"/>
          <w:tab w:val="clear" w:pos="8280"/>
        </w:tabs>
        <w:ind w:left="2505" w:hanging="1285"/>
        <w:rPr>
          <w:rStyle w:val="17"/>
          <w:rFonts w:hint="default" w:eastAsia="宋体"/>
          <w:color w:val="auto"/>
          <w:highlight w:val="none"/>
          <w:lang w:val="en-US" w:eastAsia="zh-CN"/>
        </w:rPr>
      </w:pPr>
      <w:r>
        <w:rPr>
          <w:color w:val="auto"/>
          <w:highlight w:val="none"/>
        </w:rPr>
        <w:fldChar w:fldCharType="begin"/>
      </w:r>
      <w:r>
        <w:rPr>
          <w:color w:val="auto"/>
          <w:highlight w:val="none"/>
        </w:rPr>
        <w:instrText xml:space="preserve"> HYPERLINK \l "_Toc28241" </w:instrText>
      </w:r>
      <w:r>
        <w:rPr>
          <w:color w:val="auto"/>
          <w:highlight w:val="none"/>
        </w:rPr>
        <w:fldChar w:fldCharType="separate"/>
      </w:r>
      <w:r>
        <w:rPr>
          <w:rStyle w:val="17"/>
          <w:rFonts w:hint="eastAsia"/>
          <w:color w:val="auto"/>
          <w:highlight w:val="none"/>
        </w:rPr>
        <w:t>第</w:t>
      </w:r>
      <w:r>
        <w:rPr>
          <w:rStyle w:val="17"/>
          <w:rFonts w:hint="eastAsia"/>
          <w:color w:val="auto"/>
          <w:highlight w:val="none"/>
          <w:lang w:eastAsia="zh-CN"/>
        </w:rPr>
        <w:t>七</w:t>
      </w:r>
      <w:r>
        <w:rPr>
          <w:rStyle w:val="17"/>
          <w:rFonts w:hint="eastAsia"/>
          <w:color w:val="auto"/>
          <w:highlight w:val="none"/>
        </w:rPr>
        <w:t xml:space="preserve">章 </w:t>
      </w:r>
      <w:r>
        <w:rPr>
          <w:rStyle w:val="17"/>
          <w:rFonts w:hint="eastAsia"/>
          <w:color w:val="auto"/>
          <w:kern w:val="0"/>
          <w:highlight w:val="none"/>
          <w:lang w:eastAsia="zh-CN"/>
        </w:rPr>
        <w:t>附件</w:t>
      </w:r>
      <w:r>
        <w:rPr>
          <w:rStyle w:val="17"/>
          <w:color w:val="auto"/>
          <w:highlight w:val="none"/>
        </w:rPr>
        <w:tab/>
      </w:r>
      <w:r>
        <w:rPr>
          <w:rStyle w:val="17"/>
          <w:rFonts w:hint="eastAsia"/>
          <w:color w:val="auto"/>
          <w:highlight w:val="none"/>
        </w:rPr>
        <w:fldChar w:fldCharType="end"/>
      </w:r>
      <w:r>
        <w:rPr>
          <w:rStyle w:val="17"/>
          <w:rFonts w:hint="eastAsia"/>
          <w:color w:val="auto"/>
          <w:highlight w:val="none"/>
          <w:lang w:val="en-US" w:eastAsia="zh-CN"/>
        </w:rPr>
        <w:t>31</w:t>
      </w:r>
    </w:p>
    <w:p>
      <w:pPr>
        <w:rPr>
          <w:rFonts w:hint="eastAsia"/>
          <w:color w:val="auto"/>
          <w:highlight w:val="none"/>
          <w:lang w:val="en-US" w:eastAsia="zh-CN"/>
        </w:rPr>
      </w:pPr>
    </w:p>
    <w:p>
      <w:pPr>
        <w:rPr>
          <w:color w:val="auto"/>
          <w:highlight w:val="none"/>
        </w:rPr>
      </w:pPr>
    </w:p>
    <w:p>
      <w:pPr>
        <w:pStyle w:val="2"/>
        <w:rPr>
          <w:color w:val="auto"/>
          <w:highlight w:val="none"/>
        </w:rPr>
        <w:sectPr>
          <w:footerReference r:id="rId11" w:type="first"/>
          <w:headerReference r:id="rId9" w:type="default"/>
          <w:footerReference r:id="rId10" w:type="default"/>
          <w:pgSz w:w="11906" w:h="16838"/>
          <w:pgMar w:top="1440" w:right="1800" w:bottom="1440" w:left="1800" w:header="851" w:footer="992" w:gutter="0"/>
          <w:pgNumType w:start="1"/>
          <w:cols w:space="720" w:num="1"/>
          <w:docGrid w:type="lines" w:linePitch="312" w:charSpace="0"/>
        </w:sectPr>
      </w:pPr>
      <w:r>
        <w:rPr>
          <w:color w:val="auto"/>
          <w:highlight w:val="none"/>
        </w:rPr>
        <w:fldChar w:fldCharType="end"/>
      </w:r>
      <w:bookmarkStart w:id="13" w:name="_Toc866"/>
      <w:bookmarkStart w:id="14" w:name="_Toc2163"/>
      <w:bookmarkStart w:id="15" w:name="_Toc28616"/>
      <w:bookmarkStart w:id="16" w:name="_Toc16433"/>
      <w:bookmarkStart w:id="17" w:name="_Toc377654677"/>
    </w:p>
    <w:p>
      <w:pPr>
        <w:pStyle w:val="2"/>
        <w:jc w:val="center"/>
        <w:rPr>
          <w:b/>
          <w:bCs/>
          <w:color w:val="auto"/>
          <w:sz w:val="36"/>
          <w:szCs w:val="36"/>
          <w:highlight w:val="none"/>
        </w:rPr>
      </w:pPr>
      <w:r>
        <w:rPr>
          <w:rFonts w:hint="eastAsia"/>
          <w:b/>
          <w:bCs/>
          <w:color w:val="auto"/>
          <w:sz w:val="36"/>
          <w:szCs w:val="36"/>
          <w:highlight w:val="none"/>
          <w:lang w:eastAsia="zh-CN"/>
        </w:rPr>
        <w:t>第一章</w:t>
      </w:r>
      <w:r>
        <w:rPr>
          <w:rFonts w:hint="eastAsia"/>
          <w:b/>
          <w:bCs/>
          <w:color w:val="auto"/>
          <w:sz w:val="36"/>
          <w:szCs w:val="36"/>
          <w:highlight w:val="none"/>
          <w:lang w:val="en-US" w:eastAsia="zh-CN"/>
        </w:rPr>
        <w:t xml:space="preserve"> </w:t>
      </w:r>
      <w:r>
        <w:rPr>
          <w:rFonts w:hint="eastAsia"/>
          <w:b/>
          <w:bCs/>
          <w:color w:val="auto"/>
          <w:sz w:val="36"/>
          <w:szCs w:val="36"/>
          <w:highlight w:val="none"/>
        </w:rPr>
        <w:t>竞争性谈判公告</w:t>
      </w:r>
      <w:bookmarkEnd w:id="13"/>
      <w:bookmarkEnd w:id="14"/>
      <w:bookmarkEnd w:id="15"/>
      <w:bookmarkEnd w:id="16"/>
      <w:bookmarkStart w:id="18" w:name="_Toc179632528"/>
      <w:bookmarkStart w:id="19" w:name="_Toc321758572"/>
      <w:bookmarkStart w:id="20" w:name="_Toc246996901"/>
      <w:bookmarkStart w:id="21" w:name="_Toc247085672"/>
      <w:bookmarkStart w:id="22" w:name="_Toc144974480"/>
      <w:bookmarkStart w:id="23" w:name="_Toc152042288"/>
      <w:bookmarkStart w:id="24" w:name="_Toc246996158"/>
      <w:bookmarkStart w:id="25" w:name="_Toc152045512"/>
    </w:p>
    <w:p>
      <w:pPr>
        <w:pStyle w:val="2"/>
        <w:ind w:firstLine="0"/>
        <w:rPr>
          <w:color w:val="auto"/>
          <w:highlight w:val="none"/>
        </w:rPr>
      </w:pPr>
    </w:p>
    <w:p>
      <w:pPr>
        <w:spacing w:line="400" w:lineRule="exact"/>
        <w:jc w:val="center"/>
        <w:rPr>
          <w:rFonts w:ascii="新宋体" w:hAnsi="新宋体" w:eastAsia="新宋体"/>
          <w:b/>
          <w:color w:val="auto"/>
          <w:sz w:val="28"/>
          <w:szCs w:val="28"/>
          <w:highlight w:val="none"/>
        </w:rPr>
      </w:pPr>
      <w:r>
        <w:rPr>
          <w:rFonts w:hint="eastAsia" w:ascii="宋体" w:hAnsi="宋体" w:cs="宋体"/>
          <w:b/>
          <w:bCs/>
          <w:iCs/>
          <w:color w:val="auto"/>
          <w:spacing w:val="-6"/>
          <w:sz w:val="28"/>
          <w:szCs w:val="28"/>
          <w:highlight w:val="none"/>
        </w:rPr>
        <w:t>广西祥立工程咨询有限责任公司关于法院移动办公办案终端及基础数据流量租用服务采购项目（项目编号：HCZC2019-J3-50001-GXXL）的竞争性谈判采购公告</w:t>
      </w:r>
    </w:p>
    <w:p>
      <w:pPr>
        <w:spacing w:line="400" w:lineRule="exact"/>
        <w:ind w:firstLine="420" w:firstLineChars="200"/>
        <w:rPr>
          <w:rFonts w:ascii="宋体" w:hAnsi="宋体"/>
          <w:color w:val="auto"/>
          <w:szCs w:val="21"/>
          <w:highlight w:val="none"/>
          <w:u w:val="single"/>
        </w:rPr>
      </w:pP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u w:val="single"/>
        </w:rPr>
        <w:t>广西祥立工程咨询有限责任公司</w:t>
      </w:r>
      <w:r>
        <w:rPr>
          <w:rFonts w:hint="eastAsia" w:ascii="宋体" w:hAnsi="宋体"/>
          <w:color w:val="auto"/>
          <w:szCs w:val="21"/>
          <w:highlight w:val="none"/>
        </w:rPr>
        <w:t>受</w:t>
      </w:r>
      <w:r>
        <w:rPr>
          <w:rFonts w:hint="eastAsia" w:ascii="宋体" w:hAnsi="宋体"/>
          <w:color w:val="auto"/>
          <w:szCs w:val="21"/>
          <w:highlight w:val="none"/>
          <w:u w:val="single"/>
        </w:rPr>
        <w:t>东兰县人民法院</w:t>
      </w:r>
      <w:r>
        <w:rPr>
          <w:rFonts w:hint="eastAsia" w:ascii="宋体" w:hAnsi="宋体"/>
          <w:color w:val="auto"/>
          <w:szCs w:val="21"/>
          <w:highlight w:val="none"/>
        </w:rPr>
        <w:t>委托，根据《中华人民共和国政府采购法》等有关规定，按照政府采购程序现对</w:t>
      </w:r>
      <w:r>
        <w:rPr>
          <w:rFonts w:hint="eastAsia" w:ascii="宋体" w:hAnsi="宋体"/>
          <w:color w:val="auto"/>
          <w:szCs w:val="21"/>
          <w:highlight w:val="none"/>
          <w:u w:val="single"/>
        </w:rPr>
        <w:t xml:space="preserve">  法院移动办公办案终端及基础数据流量租用服务采购项目  </w:t>
      </w:r>
      <w:r>
        <w:rPr>
          <w:rFonts w:hint="eastAsia" w:ascii="宋体" w:hAnsi="宋体"/>
          <w:color w:val="auto"/>
          <w:szCs w:val="21"/>
          <w:highlight w:val="none"/>
        </w:rPr>
        <w:t>项目进行竞争性谈判采购，欢迎符合条件的供应商前来参加谈判活动，现将有关事项公告如下：</w:t>
      </w:r>
    </w:p>
    <w:p>
      <w:pPr>
        <w:rPr>
          <w:b/>
          <w:bCs/>
          <w:color w:val="auto"/>
          <w:szCs w:val="21"/>
          <w:highlight w:val="none"/>
        </w:rPr>
      </w:pPr>
      <w:r>
        <w:rPr>
          <w:rFonts w:hint="eastAsia"/>
          <w:b/>
          <w:bCs/>
          <w:color w:val="auto"/>
          <w:szCs w:val="21"/>
          <w:highlight w:val="none"/>
        </w:rPr>
        <w:t>一、竞标项目名称及内容：</w:t>
      </w:r>
    </w:p>
    <w:bookmarkEnd w:id="17"/>
    <w:bookmarkEnd w:id="18"/>
    <w:bookmarkEnd w:id="19"/>
    <w:bookmarkEnd w:id="20"/>
    <w:bookmarkEnd w:id="21"/>
    <w:bookmarkEnd w:id="22"/>
    <w:bookmarkEnd w:id="23"/>
    <w:bookmarkEnd w:id="24"/>
    <w:bookmarkEnd w:id="25"/>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1、项目名称：</w:t>
      </w:r>
      <w:r>
        <w:rPr>
          <w:rFonts w:hint="eastAsia" w:ascii="宋体" w:hAnsi="宋体"/>
          <w:color w:val="auto"/>
          <w:szCs w:val="21"/>
          <w:highlight w:val="none"/>
          <w:u w:val="single"/>
        </w:rPr>
        <w:t>法院移动办公办案终端及基础数据流量租用服务采购项目</w:t>
      </w:r>
    </w:p>
    <w:p>
      <w:pPr>
        <w:spacing w:line="400" w:lineRule="exact"/>
        <w:ind w:firstLine="420" w:firstLineChars="200"/>
        <w:rPr>
          <w:rFonts w:ascii="宋体" w:hAnsi="宋体"/>
          <w:color w:val="auto"/>
          <w:szCs w:val="21"/>
          <w:highlight w:val="none"/>
          <w:u w:val="single"/>
        </w:rPr>
      </w:pPr>
      <w:r>
        <w:rPr>
          <w:rFonts w:hint="eastAsia" w:ascii="宋体" w:hAnsi="宋体"/>
          <w:color w:val="auto"/>
          <w:szCs w:val="21"/>
          <w:highlight w:val="none"/>
        </w:rPr>
        <w:t>2、项目编号：</w:t>
      </w:r>
      <w:r>
        <w:rPr>
          <w:rFonts w:hint="eastAsia" w:ascii="宋体" w:hAnsi="宋体"/>
          <w:color w:val="auto"/>
          <w:szCs w:val="21"/>
          <w:highlight w:val="none"/>
          <w:u w:val="single"/>
        </w:rPr>
        <w:t>HCZC2019-J3-50001-GXXL</w:t>
      </w:r>
    </w:p>
    <w:p>
      <w:pPr>
        <w:spacing w:line="400" w:lineRule="exact"/>
        <w:ind w:firstLine="420" w:firstLineChars="200"/>
        <w:rPr>
          <w:rFonts w:ascii="宋体" w:hAnsi="宋体"/>
          <w:color w:val="auto"/>
          <w:szCs w:val="21"/>
          <w:highlight w:val="none"/>
          <w:u w:val="single"/>
        </w:rPr>
      </w:pPr>
      <w:r>
        <w:rPr>
          <w:rFonts w:hint="eastAsia" w:ascii="宋体" w:hAnsi="宋体"/>
          <w:color w:val="auto"/>
          <w:szCs w:val="21"/>
          <w:highlight w:val="none"/>
        </w:rPr>
        <w:t>3、采购内容及数量：</w:t>
      </w:r>
      <w:r>
        <w:rPr>
          <w:rFonts w:hint="eastAsia" w:ascii="宋体" w:hAnsi="宋体"/>
          <w:color w:val="auto"/>
          <w:szCs w:val="21"/>
          <w:highlight w:val="none"/>
          <w:u w:val="single"/>
        </w:rPr>
        <w:t>法院移动办公办案终端及基础数据流量租用服务采购项目，具体内容详见竞争性谈判文件。</w:t>
      </w:r>
    </w:p>
    <w:p>
      <w:pPr>
        <w:spacing w:line="400" w:lineRule="exact"/>
        <w:ind w:firstLine="420" w:firstLineChars="200"/>
        <w:rPr>
          <w:rFonts w:ascii="宋体" w:hAnsi="宋体"/>
          <w:color w:val="auto"/>
          <w:szCs w:val="21"/>
          <w:highlight w:val="none"/>
          <w:u w:val="single"/>
        </w:rPr>
      </w:pPr>
      <w:r>
        <w:rPr>
          <w:rFonts w:hint="eastAsia" w:ascii="宋体" w:hAnsi="宋体"/>
          <w:color w:val="auto"/>
          <w:szCs w:val="21"/>
          <w:highlight w:val="none"/>
        </w:rPr>
        <w:t>4、项目预算金额为：</w:t>
      </w:r>
      <w:r>
        <w:rPr>
          <w:rFonts w:hint="eastAsia" w:ascii="宋体" w:hAnsi="宋体"/>
          <w:color w:val="auto"/>
          <w:szCs w:val="21"/>
          <w:highlight w:val="none"/>
          <w:u w:val="single"/>
        </w:rPr>
        <w:t>人民币（大写）肆拾玖万贰仟壹佰玖拾元整（¥492190.00元）</w:t>
      </w:r>
    </w:p>
    <w:p>
      <w:pPr>
        <w:spacing w:line="400" w:lineRule="exact"/>
        <w:rPr>
          <w:rFonts w:ascii="宋体" w:hAnsi="宋体"/>
          <w:b/>
          <w:bCs/>
          <w:color w:val="auto"/>
          <w:szCs w:val="21"/>
          <w:highlight w:val="none"/>
        </w:rPr>
      </w:pPr>
      <w:r>
        <w:rPr>
          <w:rFonts w:hint="eastAsia" w:ascii="宋体" w:hAnsi="宋体"/>
          <w:b/>
          <w:bCs/>
          <w:color w:val="auto"/>
          <w:szCs w:val="21"/>
          <w:highlight w:val="none"/>
        </w:rPr>
        <w:t>二、竞标人的资格要求：</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1．供应商必须是国内注册（指按国家有关规定注册的）并且具有国内独立法人资格或其下属分支机构负责人资格的投标人，生产或经营本次采购服务，且符合《中华人民共和国政府采购法》第二十二条的规定的供应商；</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2.国内注册（指按国家工商管理或国家事业单位管理有关规定要求核准登记的），经营范围达到本次招标服务要求，具备法人资格的供应商。</w:t>
      </w:r>
    </w:p>
    <w:p>
      <w:pPr>
        <w:pStyle w:val="2"/>
        <w:rPr>
          <w:color w:val="auto"/>
          <w:highlight w:val="none"/>
        </w:rPr>
      </w:pPr>
      <w:r>
        <w:rPr>
          <w:rFonts w:hint="eastAsia"/>
          <w:color w:val="auto"/>
          <w:highlight w:val="none"/>
        </w:rPr>
        <w:t>3.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4．对在“信用中国”网站（www.creditchina.gov.cn）、中国政府采购网（www.ccgp.gov.cn）等渠道列入失信被执行人、重大税收违法案件当事人名单、政府采购严重违法失信行为记录名单及其他不符合《中华人民共和国政府采购法》第二十二条规定的供应商，不得参与政府采购活动；</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5、本项目不接</w:t>
      </w:r>
      <w:r>
        <w:rPr>
          <w:rFonts w:hint="eastAsia" w:ascii="宋体" w:hAnsi="宋体"/>
          <w:color w:val="auto"/>
          <w:szCs w:val="21"/>
          <w:highlight w:val="none"/>
          <w:shd w:val="clear" w:color="FFFFFF" w:fill="D9D9D9"/>
        </w:rPr>
        <w:t>受联合</w:t>
      </w:r>
      <w:r>
        <w:rPr>
          <w:rFonts w:hint="eastAsia" w:ascii="宋体" w:hAnsi="宋体"/>
          <w:color w:val="auto"/>
          <w:szCs w:val="21"/>
          <w:highlight w:val="none"/>
        </w:rPr>
        <w:t>体投标。</w:t>
      </w:r>
    </w:p>
    <w:p>
      <w:pPr>
        <w:spacing w:line="400" w:lineRule="exact"/>
        <w:rPr>
          <w:rFonts w:ascii="宋体" w:hAnsi="宋体" w:cs="宋体"/>
          <w:b/>
          <w:color w:val="auto"/>
          <w:szCs w:val="21"/>
          <w:highlight w:val="none"/>
        </w:rPr>
      </w:pPr>
      <w:r>
        <w:rPr>
          <w:rFonts w:hint="eastAsia" w:ascii="宋体" w:hAnsi="宋体"/>
          <w:color w:val="auto"/>
          <w:szCs w:val="21"/>
          <w:highlight w:val="none"/>
        </w:rPr>
        <w:t>三、</w:t>
      </w:r>
      <w:r>
        <w:rPr>
          <w:rFonts w:hint="eastAsia" w:ascii="宋体" w:hAnsi="宋体" w:cs="宋体"/>
          <w:b/>
          <w:color w:val="auto"/>
          <w:szCs w:val="21"/>
          <w:highlight w:val="none"/>
        </w:rPr>
        <w:t>本项目需要落实的政府采购政策：</w:t>
      </w:r>
    </w:p>
    <w:p>
      <w:pPr>
        <w:spacing w:line="400" w:lineRule="exact"/>
        <w:rPr>
          <w:rFonts w:ascii="宋体" w:hAnsi="宋体"/>
          <w:color w:val="auto"/>
          <w:szCs w:val="21"/>
          <w:highlight w:val="none"/>
        </w:rPr>
      </w:pPr>
      <w:r>
        <w:rPr>
          <w:rFonts w:hint="eastAsia" w:ascii="宋体" w:hAnsi="宋体"/>
          <w:color w:val="auto"/>
          <w:szCs w:val="21"/>
          <w:highlight w:val="none"/>
        </w:rPr>
        <w:t>中华人民共和国政府采购法》、《中华人民共和国政府采购法实施条例》、《政府采购货物和服务招标投标管理办法》、《政府采购非招标采购方式管理办法》、《政府采购促进中小企业发展暂行办法》（财库[2011]181号）、《财政部、司法部关于政府采购支持监狱企业发展有关问题的通知》（财库[2014]68号）以及《三部门联合发布关于促进残疾人就业政府采购政策的通知》（财库〔2017〕141号）。</w:t>
      </w:r>
    </w:p>
    <w:p>
      <w:pPr>
        <w:spacing w:line="400" w:lineRule="exact"/>
        <w:rPr>
          <w:rFonts w:ascii="宋体" w:hAnsi="宋体"/>
          <w:b/>
          <w:bCs/>
          <w:color w:val="auto"/>
          <w:szCs w:val="21"/>
          <w:highlight w:val="none"/>
        </w:rPr>
      </w:pPr>
      <w:r>
        <w:rPr>
          <w:rFonts w:hint="eastAsia" w:ascii="宋体" w:hAnsi="宋体"/>
          <w:b/>
          <w:bCs/>
          <w:color w:val="auto"/>
          <w:szCs w:val="21"/>
          <w:highlight w:val="none"/>
        </w:rPr>
        <w:t>四、竞争性谈判文件的发售：</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1、发售时间：2019年8月</w:t>
      </w:r>
      <w:r>
        <w:rPr>
          <w:rFonts w:hint="eastAsia" w:ascii="宋体" w:hAnsi="宋体"/>
          <w:color w:val="auto"/>
          <w:szCs w:val="21"/>
          <w:highlight w:val="none"/>
          <w:lang w:val="en-US" w:eastAsia="zh-CN"/>
        </w:rPr>
        <w:t>20</w:t>
      </w:r>
      <w:r>
        <w:rPr>
          <w:rFonts w:hint="eastAsia" w:ascii="宋体" w:hAnsi="宋体"/>
          <w:color w:val="auto"/>
          <w:szCs w:val="21"/>
          <w:highlight w:val="none"/>
        </w:rPr>
        <w:t>日至2019年8月2</w:t>
      </w:r>
      <w:r>
        <w:rPr>
          <w:rFonts w:hint="eastAsia" w:ascii="宋体" w:hAnsi="宋体"/>
          <w:color w:val="auto"/>
          <w:szCs w:val="21"/>
          <w:highlight w:val="none"/>
          <w:lang w:val="en-US" w:eastAsia="zh-CN"/>
        </w:rPr>
        <w:t>2</w:t>
      </w:r>
      <w:r>
        <w:rPr>
          <w:rFonts w:hint="eastAsia" w:ascii="宋体" w:hAnsi="宋体"/>
          <w:color w:val="auto"/>
          <w:szCs w:val="21"/>
          <w:highlight w:val="none"/>
        </w:rPr>
        <w:t>日，上午9：00</w:t>
      </w:r>
      <w:r>
        <w:rPr>
          <w:rFonts w:hint="eastAsia" w:ascii="宋体" w:hAnsi="宋体"/>
          <w:color w:val="auto"/>
          <w:szCs w:val="21"/>
          <w:highlight w:val="none"/>
          <w:lang w:val="en-US" w:eastAsia="zh-CN"/>
        </w:rPr>
        <w:t>-</w:t>
      </w:r>
      <w:r>
        <w:rPr>
          <w:rFonts w:hint="eastAsia" w:ascii="宋体" w:hAnsi="宋体"/>
          <w:color w:val="auto"/>
          <w:szCs w:val="21"/>
          <w:highlight w:val="none"/>
        </w:rPr>
        <w:t>12：00；下午15：00</w:t>
      </w:r>
      <w:r>
        <w:rPr>
          <w:rFonts w:hint="eastAsia" w:ascii="宋体" w:hAnsi="宋体"/>
          <w:color w:val="auto"/>
          <w:szCs w:val="21"/>
          <w:highlight w:val="none"/>
          <w:lang w:val="en-US" w:eastAsia="zh-CN"/>
        </w:rPr>
        <w:t>-</w:t>
      </w:r>
      <w:r>
        <w:rPr>
          <w:rFonts w:hint="eastAsia" w:ascii="宋体" w:hAnsi="宋体"/>
          <w:color w:val="auto"/>
          <w:szCs w:val="21"/>
          <w:highlight w:val="none"/>
        </w:rPr>
        <w:t>17：30，双休日和法定节假日不办理业务。</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2、发售地点：广西祥立工程咨询有限责任公司开标室（河池市金城江区幸福湾2栋1单元1603号）。</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3、售价：竞争性谈判文件每套售价250元，售后不退。</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4、要求：购买竞争性谈判文件时凡有意参加竞标的，并符合上述条件的竞标人，须由竞标人的</w:t>
      </w:r>
      <w:r>
        <w:rPr>
          <w:rFonts w:hint="eastAsia" w:ascii="宋体" w:hAnsi="宋体"/>
          <w:color w:val="auto"/>
          <w:szCs w:val="21"/>
          <w:highlight w:val="none"/>
          <w:lang w:eastAsia="zh-CN"/>
        </w:rPr>
        <w:t>法定代表人或负责人</w:t>
      </w:r>
      <w:r>
        <w:rPr>
          <w:rFonts w:hint="eastAsia" w:ascii="宋体" w:hAnsi="宋体"/>
          <w:color w:val="auto"/>
          <w:szCs w:val="21"/>
          <w:highlight w:val="none"/>
        </w:rPr>
        <w:t>或委托代理人在报名时携带以下资料进行报名：（1）竞标单位介绍信；（2）</w:t>
      </w:r>
      <w:r>
        <w:rPr>
          <w:rFonts w:hint="eastAsia" w:ascii="宋体" w:hAnsi="宋体"/>
          <w:color w:val="auto"/>
          <w:szCs w:val="21"/>
          <w:highlight w:val="none"/>
          <w:lang w:eastAsia="zh-CN"/>
        </w:rPr>
        <w:t>法定代表人或负责人</w:t>
      </w:r>
      <w:r>
        <w:rPr>
          <w:rFonts w:hint="eastAsia" w:ascii="宋体" w:hAnsi="宋体"/>
          <w:color w:val="auto"/>
          <w:szCs w:val="21"/>
          <w:highlight w:val="none"/>
        </w:rPr>
        <w:t>身份证明书（附</w:t>
      </w:r>
      <w:r>
        <w:rPr>
          <w:rFonts w:hint="eastAsia" w:ascii="宋体" w:hAnsi="宋体"/>
          <w:color w:val="auto"/>
          <w:szCs w:val="21"/>
          <w:highlight w:val="none"/>
          <w:lang w:eastAsia="zh-CN"/>
        </w:rPr>
        <w:t>法定代表人或负责人</w:t>
      </w:r>
      <w:r>
        <w:rPr>
          <w:rFonts w:hint="eastAsia" w:ascii="宋体" w:hAnsi="宋体"/>
          <w:color w:val="auto"/>
          <w:szCs w:val="21"/>
          <w:highlight w:val="none"/>
        </w:rPr>
        <w:t>身份证复印件）；（3）法人营业执照或事业单位法人证书副本复印件（未办理“三证合一”的还须提供组织机构代码证副本复印件和有效的税务登记证副本复印件）；（4）授权委托书原件及委托代理人身份证复印件（委托代理时必须提供，明确委托权限及时间，委托代理人必须是本公司的在职在册人员，须提供竞标单位为其缴纳养老保险近</w:t>
      </w:r>
      <w:r>
        <w:rPr>
          <w:rFonts w:hint="eastAsia" w:ascii="宋体" w:hAnsi="宋体"/>
          <w:color w:val="auto"/>
          <w:szCs w:val="21"/>
          <w:highlight w:val="none"/>
          <w:lang w:eastAsia="zh-CN"/>
        </w:rPr>
        <w:t>三个月</w:t>
      </w:r>
      <w:r>
        <w:rPr>
          <w:rFonts w:hint="eastAsia" w:ascii="宋体" w:hAnsi="宋体"/>
          <w:color w:val="auto"/>
          <w:szCs w:val="21"/>
          <w:highlight w:val="none"/>
        </w:rPr>
        <w:t>的证明材料）（新成立的公司按实际情况提供）</w:t>
      </w:r>
      <w:r>
        <w:rPr>
          <w:rFonts w:hint="eastAsia" w:ascii="宋体" w:hAnsi="宋体"/>
          <w:b/>
          <w:color w:val="auto"/>
          <w:szCs w:val="21"/>
          <w:highlight w:val="none"/>
        </w:rPr>
        <w:t>；</w:t>
      </w:r>
      <w:r>
        <w:rPr>
          <w:rFonts w:hint="eastAsia" w:ascii="宋体" w:hAnsi="宋体"/>
          <w:color w:val="auto"/>
          <w:szCs w:val="21"/>
          <w:highlight w:val="none"/>
        </w:rPr>
        <w:t>上述资料按顺序装订成册、注明原件的收原件，未注明原件的携带原件现场检验并收复印件（复印件应与原件保持一致)；所有复印件必须加盖竞标人公章；</w:t>
      </w:r>
    </w:p>
    <w:p>
      <w:pPr>
        <w:spacing w:line="400" w:lineRule="exact"/>
        <w:ind w:firstLine="422" w:firstLineChars="200"/>
        <w:rPr>
          <w:rFonts w:ascii="宋体" w:hAnsi="宋体"/>
          <w:color w:val="auto"/>
          <w:szCs w:val="21"/>
          <w:highlight w:val="none"/>
        </w:rPr>
      </w:pPr>
      <w:r>
        <w:rPr>
          <w:rFonts w:hint="eastAsia" w:ascii="宋体" w:hAnsi="宋体"/>
          <w:b/>
          <w:bCs/>
          <w:color w:val="auto"/>
          <w:szCs w:val="21"/>
          <w:highlight w:val="none"/>
        </w:rPr>
        <w:t>五、竞标保证金</w:t>
      </w:r>
      <w:r>
        <w:rPr>
          <w:rFonts w:hint="eastAsia" w:ascii="宋体" w:hAnsi="宋体"/>
          <w:color w:val="auto"/>
          <w:szCs w:val="21"/>
          <w:highlight w:val="none"/>
        </w:rPr>
        <w:t>：</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竞标保证金：</w:t>
      </w:r>
      <w:r>
        <w:rPr>
          <w:rFonts w:hint="eastAsia" w:ascii="宋体" w:hAnsi="宋体"/>
          <w:color w:val="auto"/>
          <w:szCs w:val="21"/>
          <w:highlight w:val="none"/>
          <w:u w:val="single"/>
        </w:rPr>
        <w:t>人民币（大写）伍仟元整（¥5000.00元）</w:t>
      </w:r>
      <w:r>
        <w:rPr>
          <w:rFonts w:hint="eastAsia" w:ascii="宋体" w:hAnsi="宋体"/>
          <w:color w:val="auto"/>
          <w:szCs w:val="21"/>
          <w:highlight w:val="none"/>
        </w:rPr>
        <w:t>。竞标人应于递交响应文件截止时间前一天（即2019年8月2</w:t>
      </w:r>
      <w:r>
        <w:rPr>
          <w:rFonts w:hint="eastAsia" w:ascii="宋体" w:hAnsi="宋体"/>
          <w:color w:val="auto"/>
          <w:szCs w:val="21"/>
          <w:highlight w:val="none"/>
          <w:lang w:val="en-US" w:eastAsia="zh-CN"/>
        </w:rPr>
        <w:t>2</w:t>
      </w:r>
      <w:r>
        <w:rPr>
          <w:rFonts w:hint="eastAsia" w:ascii="宋体" w:hAnsi="宋体"/>
          <w:color w:val="auto"/>
          <w:szCs w:val="21"/>
          <w:highlight w:val="none"/>
        </w:rPr>
        <w:t>日17时30分前）将竞标保证金以电汇、转帐、汇票、等非现金形式缴交至以下账户：</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开户名称：广西祥立工程咨询有限责任公司</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开户银行： 中国建设银行股份有限公司南宁青山路支行</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银行账号：4500 1604 5560 5070 4136</w:t>
      </w:r>
    </w:p>
    <w:p>
      <w:pPr>
        <w:spacing w:line="400" w:lineRule="exact"/>
        <w:rPr>
          <w:rFonts w:ascii="宋体" w:hAnsi="宋体"/>
          <w:b/>
          <w:bCs/>
          <w:color w:val="auto"/>
          <w:szCs w:val="21"/>
          <w:highlight w:val="none"/>
        </w:rPr>
      </w:pPr>
      <w:r>
        <w:rPr>
          <w:rFonts w:hint="eastAsia" w:ascii="宋体" w:hAnsi="宋体"/>
          <w:b/>
          <w:bCs/>
          <w:color w:val="auto"/>
          <w:szCs w:val="21"/>
          <w:highlight w:val="none"/>
        </w:rPr>
        <w:t>六、竞标截止时间和地点：</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竞标人应于2019年8月2</w:t>
      </w:r>
      <w:r>
        <w:rPr>
          <w:rFonts w:hint="eastAsia" w:ascii="宋体" w:hAnsi="宋体"/>
          <w:color w:val="auto"/>
          <w:szCs w:val="21"/>
          <w:highlight w:val="none"/>
          <w:lang w:val="en-US" w:eastAsia="zh-CN"/>
        </w:rPr>
        <w:t>3</w:t>
      </w:r>
      <w:r>
        <w:rPr>
          <w:rFonts w:hint="eastAsia" w:ascii="宋体" w:hAnsi="宋体"/>
          <w:color w:val="auto"/>
          <w:szCs w:val="21"/>
          <w:highlight w:val="none"/>
        </w:rPr>
        <w:t>日</w:t>
      </w:r>
      <w:r>
        <w:rPr>
          <w:rFonts w:hint="eastAsia" w:ascii="宋体" w:hAnsi="宋体"/>
          <w:color w:val="auto"/>
          <w:szCs w:val="21"/>
          <w:highlight w:val="none"/>
          <w:lang w:val="en-US" w:eastAsia="zh-CN"/>
        </w:rPr>
        <w:t>9</w:t>
      </w:r>
      <w:r>
        <w:rPr>
          <w:rFonts w:hint="eastAsia" w:ascii="宋体" w:hAnsi="宋体"/>
          <w:color w:val="auto"/>
          <w:szCs w:val="21"/>
          <w:highlight w:val="none"/>
        </w:rPr>
        <w:t>时</w:t>
      </w:r>
      <w:r>
        <w:rPr>
          <w:rFonts w:hint="eastAsia" w:ascii="宋体" w:hAnsi="宋体"/>
          <w:color w:val="auto"/>
          <w:szCs w:val="21"/>
          <w:highlight w:val="none"/>
          <w:lang w:val="en-US" w:eastAsia="zh-CN"/>
        </w:rPr>
        <w:t>3</w:t>
      </w:r>
      <w:r>
        <w:rPr>
          <w:rFonts w:hint="eastAsia" w:ascii="宋体" w:hAnsi="宋体"/>
          <w:color w:val="auto"/>
          <w:szCs w:val="21"/>
          <w:highlight w:val="none"/>
        </w:rPr>
        <w:t>0分前将竞标文件密封送交到：广西祥立工程咨询有限责任公司河池分公司开标室（河池市金城江区幸福湾2栋1单元1603号），逾期送达的竞标文件不予接受。</w:t>
      </w:r>
    </w:p>
    <w:p>
      <w:pPr>
        <w:spacing w:line="400" w:lineRule="exact"/>
        <w:rPr>
          <w:rFonts w:ascii="宋体" w:hAnsi="宋体"/>
          <w:b/>
          <w:bCs/>
          <w:color w:val="auto"/>
          <w:szCs w:val="21"/>
          <w:highlight w:val="none"/>
        </w:rPr>
      </w:pPr>
      <w:r>
        <w:rPr>
          <w:rFonts w:hint="eastAsia" w:ascii="宋体" w:hAnsi="宋体"/>
          <w:b/>
          <w:bCs/>
          <w:color w:val="auto"/>
          <w:szCs w:val="21"/>
          <w:highlight w:val="none"/>
        </w:rPr>
        <w:t>七、谈判时间及地点：</w:t>
      </w:r>
    </w:p>
    <w:p>
      <w:pPr>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竞标文件递交截止后为与竞标人谈判时间：2019年8月2</w:t>
      </w:r>
      <w:r>
        <w:rPr>
          <w:rFonts w:hint="eastAsia" w:ascii="宋体" w:hAnsi="宋体"/>
          <w:color w:val="auto"/>
          <w:szCs w:val="21"/>
          <w:highlight w:val="none"/>
          <w:lang w:val="en-US" w:eastAsia="zh-CN"/>
        </w:rPr>
        <w:t>3</w:t>
      </w:r>
      <w:r>
        <w:rPr>
          <w:rFonts w:hint="eastAsia" w:ascii="宋体" w:hAnsi="宋体"/>
          <w:color w:val="auto"/>
          <w:szCs w:val="21"/>
          <w:highlight w:val="none"/>
        </w:rPr>
        <w:t>日</w:t>
      </w:r>
      <w:r>
        <w:rPr>
          <w:rFonts w:hint="eastAsia" w:ascii="宋体" w:hAnsi="宋体"/>
          <w:color w:val="auto"/>
          <w:szCs w:val="21"/>
          <w:highlight w:val="none"/>
          <w:lang w:val="en-US" w:eastAsia="zh-CN"/>
        </w:rPr>
        <w:t>9</w:t>
      </w:r>
      <w:r>
        <w:rPr>
          <w:rFonts w:hint="eastAsia" w:ascii="宋体" w:hAnsi="宋体"/>
          <w:color w:val="auto"/>
          <w:szCs w:val="21"/>
          <w:highlight w:val="none"/>
        </w:rPr>
        <w:t>时</w:t>
      </w:r>
      <w:r>
        <w:rPr>
          <w:rFonts w:hint="eastAsia" w:ascii="宋体" w:hAnsi="宋体"/>
          <w:color w:val="auto"/>
          <w:szCs w:val="21"/>
          <w:highlight w:val="none"/>
          <w:lang w:val="en-US" w:eastAsia="zh-CN"/>
        </w:rPr>
        <w:t>3</w:t>
      </w:r>
      <w:r>
        <w:rPr>
          <w:rFonts w:hint="eastAsia" w:ascii="宋体" w:hAnsi="宋体"/>
          <w:color w:val="auto"/>
          <w:szCs w:val="21"/>
          <w:highlight w:val="none"/>
        </w:rPr>
        <w:t>0分；地点：广西祥立工程咨询有限责任公司开标室（河池市金城江区幸福湾2栋1单元1603号），参加竞标的</w:t>
      </w:r>
      <w:r>
        <w:rPr>
          <w:rFonts w:hint="eastAsia" w:ascii="宋体" w:hAnsi="宋体"/>
          <w:color w:val="auto"/>
          <w:szCs w:val="21"/>
          <w:highlight w:val="none"/>
          <w:lang w:eastAsia="zh-CN"/>
        </w:rPr>
        <w:t>法定代表人或负责人</w:t>
      </w:r>
      <w:r>
        <w:rPr>
          <w:rFonts w:hint="eastAsia" w:ascii="宋体" w:hAnsi="宋体"/>
          <w:color w:val="auto"/>
          <w:szCs w:val="21"/>
          <w:highlight w:val="none"/>
        </w:rPr>
        <w:t>或其授权委托代理人必须持有效身份证原件，（如授权必须有授权委托书原件）按时到达等候当面谈判。</w:t>
      </w:r>
    </w:p>
    <w:p>
      <w:pPr>
        <w:spacing w:line="400" w:lineRule="exact"/>
        <w:rPr>
          <w:rFonts w:ascii="宋体" w:hAnsi="宋体"/>
          <w:b/>
          <w:bCs/>
          <w:color w:val="auto"/>
          <w:szCs w:val="21"/>
          <w:highlight w:val="none"/>
        </w:rPr>
      </w:pPr>
      <w:r>
        <w:rPr>
          <w:rFonts w:hint="eastAsia" w:ascii="宋体" w:hAnsi="宋体"/>
          <w:b/>
          <w:bCs/>
          <w:color w:val="auto"/>
          <w:szCs w:val="21"/>
          <w:highlight w:val="none"/>
        </w:rPr>
        <w:t>八、联系电话及通讯地址：</w:t>
      </w:r>
    </w:p>
    <w:p>
      <w:pPr>
        <w:spacing w:line="34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1、政府采购监督管理部门：东兰县政府采购管理办公室     </w:t>
      </w:r>
    </w:p>
    <w:p>
      <w:pPr>
        <w:spacing w:line="340" w:lineRule="exact"/>
        <w:ind w:firstLine="840" w:firstLineChars="400"/>
        <w:rPr>
          <w:rFonts w:ascii="宋体" w:hAnsi="宋体" w:cs="宋体"/>
          <w:color w:val="auto"/>
          <w:szCs w:val="21"/>
          <w:highlight w:val="none"/>
        </w:rPr>
      </w:pPr>
      <w:r>
        <w:rPr>
          <w:rFonts w:hint="eastAsia" w:ascii="宋体" w:hAnsi="宋体" w:cs="宋体"/>
          <w:color w:val="auto"/>
          <w:szCs w:val="21"/>
          <w:highlight w:val="none"/>
        </w:rPr>
        <w:t>监督电话：</w:t>
      </w:r>
      <w:r>
        <w:rPr>
          <w:rFonts w:ascii="宋体" w:hAnsi="宋体" w:cs="宋体"/>
          <w:color w:val="auto"/>
          <w:szCs w:val="21"/>
          <w:highlight w:val="none"/>
        </w:rPr>
        <w:t>0778-6328633</w:t>
      </w:r>
    </w:p>
    <w:p>
      <w:pPr>
        <w:spacing w:line="340" w:lineRule="exact"/>
        <w:ind w:firstLine="420" w:firstLineChars="200"/>
        <w:rPr>
          <w:rFonts w:ascii="宋体" w:hAnsi="宋体" w:cs="宋体"/>
          <w:bCs/>
          <w:iCs/>
          <w:color w:val="auto"/>
          <w:spacing w:val="-6"/>
          <w:szCs w:val="21"/>
          <w:highlight w:val="none"/>
        </w:rPr>
      </w:pPr>
      <w:r>
        <w:rPr>
          <w:rFonts w:hint="eastAsia" w:ascii="宋体" w:hAnsi="宋体" w:cs="宋体"/>
          <w:color w:val="auto"/>
          <w:szCs w:val="21"/>
          <w:highlight w:val="none"/>
        </w:rPr>
        <w:t>2、采购单位：</w:t>
      </w:r>
      <w:r>
        <w:rPr>
          <w:rFonts w:hint="eastAsia" w:ascii="宋体" w:hAnsi="宋体"/>
          <w:color w:val="auto"/>
          <w:szCs w:val="21"/>
          <w:highlight w:val="none"/>
        </w:rPr>
        <w:t>东兰县人民法院</w:t>
      </w:r>
      <w:r>
        <w:rPr>
          <w:rFonts w:hint="eastAsia" w:ascii="宋体" w:hAnsi="宋体" w:cs="宋体"/>
          <w:bCs/>
          <w:iCs/>
          <w:color w:val="auto"/>
          <w:spacing w:val="-6"/>
          <w:szCs w:val="21"/>
          <w:highlight w:val="none"/>
        </w:rPr>
        <w:t xml:space="preserve">    </w:t>
      </w:r>
    </w:p>
    <w:p>
      <w:pPr>
        <w:spacing w:line="340" w:lineRule="exact"/>
        <w:ind w:firstLine="840" w:firstLineChars="400"/>
        <w:rPr>
          <w:rFonts w:ascii="宋体" w:hAnsi="宋体" w:cs="宋体"/>
          <w:color w:val="auto"/>
          <w:szCs w:val="21"/>
          <w:highlight w:val="none"/>
        </w:rPr>
      </w:pPr>
      <w:r>
        <w:rPr>
          <w:rFonts w:hint="eastAsia" w:ascii="宋体" w:hAnsi="宋体" w:cs="宋体"/>
          <w:color w:val="auto"/>
          <w:szCs w:val="21"/>
          <w:highlight w:val="none"/>
        </w:rPr>
        <w:t>联系人：</w:t>
      </w:r>
      <w:r>
        <w:rPr>
          <w:rFonts w:hint="eastAsia" w:ascii="宋体" w:hAnsi="宋体" w:cs="宋体"/>
          <w:color w:val="auto"/>
          <w:szCs w:val="21"/>
          <w:highlight w:val="none"/>
          <w:lang w:eastAsia="zh-CN"/>
        </w:rPr>
        <w:t>韦工</w:t>
      </w:r>
      <w:r>
        <w:rPr>
          <w:rFonts w:hint="eastAsia" w:ascii="宋体" w:hAnsi="宋体" w:cs="宋体"/>
          <w:color w:val="auto"/>
          <w:szCs w:val="21"/>
          <w:highlight w:val="none"/>
        </w:rPr>
        <w:t xml:space="preserve">        </w:t>
      </w:r>
    </w:p>
    <w:p>
      <w:pPr>
        <w:spacing w:line="340" w:lineRule="exact"/>
        <w:ind w:firstLine="840" w:firstLineChars="4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联系电话：</w:t>
      </w:r>
      <w:r>
        <w:rPr>
          <w:rFonts w:hint="eastAsia" w:ascii="宋体" w:hAnsi="宋体" w:cs="宋体"/>
          <w:color w:val="auto"/>
          <w:szCs w:val="21"/>
          <w:highlight w:val="none"/>
          <w:lang w:val="en-US" w:eastAsia="zh-CN"/>
        </w:rPr>
        <w:t>0778-6333108</w:t>
      </w:r>
    </w:p>
    <w:p>
      <w:pPr>
        <w:spacing w:line="340" w:lineRule="exact"/>
        <w:ind w:firstLine="840" w:firstLineChars="400"/>
        <w:rPr>
          <w:rFonts w:ascii="宋体" w:hAnsi="宋体" w:cs="宋体"/>
          <w:color w:val="auto"/>
          <w:szCs w:val="21"/>
          <w:highlight w:val="none"/>
        </w:rPr>
      </w:pPr>
      <w:r>
        <w:rPr>
          <w:rFonts w:hint="eastAsia" w:ascii="宋体" w:hAnsi="宋体" w:cs="宋体"/>
          <w:color w:val="auto"/>
          <w:szCs w:val="21"/>
          <w:highlight w:val="none"/>
        </w:rPr>
        <w:t>地址：</w:t>
      </w:r>
      <w:r>
        <w:rPr>
          <w:rFonts w:ascii="Arial" w:hAnsi="Arial" w:cs="Arial"/>
          <w:color w:val="auto"/>
          <w:highlight w:val="none"/>
        </w:rPr>
        <w:t>东兰县东兰镇新城路39号</w:t>
      </w:r>
    </w:p>
    <w:p>
      <w:pPr>
        <w:spacing w:line="340" w:lineRule="exact"/>
        <w:ind w:firstLine="420" w:firstLineChars="200"/>
        <w:rPr>
          <w:rFonts w:ascii="宋体" w:hAnsi="宋体" w:cs="宋体"/>
          <w:color w:val="auto"/>
          <w:szCs w:val="21"/>
          <w:highlight w:val="none"/>
          <w:u w:color="000000"/>
        </w:rPr>
      </w:pPr>
      <w:r>
        <w:rPr>
          <w:rFonts w:hint="eastAsia" w:ascii="宋体" w:hAnsi="宋体" w:cs="宋体"/>
          <w:color w:val="auto"/>
          <w:szCs w:val="21"/>
          <w:highlight w:val="none"/>
        </w:rPr>
        <w:t xml:space="preserve">3、采购代理机构：广西祥立工程咨询有限责任公司 </w:t>
      </w:r>
    </w:p>
    <w:p>
      <w:pPr>
        <w:spacing w:line="340" w:lineRule="exact"/>
        <w:rPr>
          <w:rFonts w:ascii="宋体" w:hAnsi="宋体" w:cs="宋体"/>
          <w:color w:val="auto"/>
          <w:szCs w:val="21"/>
          <w:highlight w:val="none"/>
        </w:rPr>
      </w:pPr>
      <w:r>
        <w:rPr>
          <w:rFonts w:hint="eastAsia" w:ascii="宋体" w:hAnsi="宋体" w:cs="宋体"/>
          <w:color w:val="auto"/>
          <w:szCs w:val="21"/>
          <w:highlight w:val="none"/>
        </w:rPr>
        <w:t xml:space="preserve">       联系人：刘</w:t>
      </w:r>
      <w:r>
        <w:rPr>
          <w:rFonts w:hint="eastAsia" w:ascii="宋体" w:hAnsi="宋体" w:cs="宋体"/>
          <w:color w:val="auto"/>
          <w:szCs w:val="21"/>
          <w:highlight w:val="none"/>
          <w:lang w:eastAsia="zh-CN"/>
        </w:rPr>
        <w:t>工</w:t>
      </w:r>
      <w:r>
        <w:rPr>
          <w:rFonts w:hint="eastAsia" w:ascii="宋体" w:hAnsi="宋体" w:cs="宋体"/>
          <w:color w:val="auto"/>
          <w:szCs w:val="21"/>
          <w:highlight w:val="none"/>
        </w:rPr>
        <w:t xml:space="preserve">    联系电话：0778-7908770</w:t>
      </w:r>
    </w:p>
    <w:p>
      <w:pPr>
        <w:spacing w:line="340" w:lineRule="exact"/>
        <w:ind w:firstLine="840" w:firstLineChars="400"/>
        <w:rPr>
          <w:rFonts w:ascii="宋体" w:hAnsi="宋体" w:cs="宋体"/>
          <w:color w:val="auto"/>
          <w:szCs w:val="21"/>
          <w:highlight w:val="none"/>
        </w:rPr>
      </w:pPr>
      <w:r>
        <w:rPr>
          <w:rFonts w:hint="eastAsia" w:ascii="宋体" w:hAnsi="宋体" w:cs="宋体"/>
          <w:color w:val="auto"/>
          <w:szCs w:val="21"/>
          <w:highlight w:val="none"/>
        </w:rPr>
        <w:t>地址：河池市金城江区幸福湾2栋1单元1603号</w:t>
      </w:r>
    </w:p>
    <w:p>
      <w:pPr>
        <w:spacing w:line="400" w:lineRule="exact"/>
        <w:rPr>
          <w:rFonts w:ascii="宋体" w:hAnsi="宋体"/>
          <w:b/>
          <w:bCs/>
          <w:color w:val="auto"/>
          <w:szCs w:val="21"/>
          <w:highlight w:val="none"/>
        </w:rPr>
      </w:pPr>
      <w:r>
        <w:rPr>
          <w:rFonts w:hint="eastAsia" w:ascii="宋体" w:hAnsi="宋体"/>
          <w:b/>
          <w:bCs/>
          <w:color w:val="auto"/>
          <w:szCs w:val="21"/>
          <w:highlight w:val="none"/>
        </w:rPr>
        <w:t>九、公告媒体：</w:t>
      </w:r>
    </w:p>
    <w:p>
      <w:pPr>
        <w:spacing w:line="400" w:lineRule="exact"/>
        <w:rPr>
          <w:rFonts w:ascii="宋体" w:hAnsi="宋体"/>
          <w:color w:val="auto"/>
          <w:szCs w:val="21"/>
          <w:highlight w:val="none"/>
        </w:rPr>
      </w:pPr>
      <w:r>
        <w:rPr>
          <w:color w:val="auto"/>
          <w:highlight w:val="none"/>
        </w:rPr>
        <w:fldChar w:fldCharType="begin"/>
      </w:r>
      <w:r>
        <w:rPr>
          <w:color w:val="auto"/>
          <w:highlight w:val="none"/>
        </w:rPr>
        <w:instrText xml:space="preserve"> HYPERLINK "http://www.ccgp.gov.cn（中国政府采购网）、www.gxzfcg.gov.cn" </w:instrText>
      </w:r>
      <w:r>
        <w:rPr>
          <w:color w:val="auto"/>
          <w:highlight w:val="none"/>
        </w:rPr>
        <w:fldChar w:fldCharType="separate"/>
      </w:r>
      <w:r>
        <w:rPr>
          <w:rFonts w:hint="eastAsia"/>
          <w:color w:val="auto"/>
          <w:highlight w:val="none"/>
        </w:rPr>
        <w:t>中国政府采购网</w:t>
      </w:r>
      <w:r>
        <w:rPr>
          <w:rStyle w:val="17"/>
          <w:rFonts w:hint="eastAsia" w:ascii="宋体" w:hAnsi="宋体"/>
          <w:color w:val="auto"/>
          <w:szCs w:val="21"/>
          <w:highlight w:val="none"/>
        </w:rPr>
        <w:t>（http://www.ccgp.gov.cn）</w:t>
      </w:r>
      <w:r>
        <w:rPr>
          <w:rStyle w:val="17"/>
          <w:rFonts w:hint="eastAsia" w:ascii="宋体" w:hAnsi="宋体"/>
          <w:color w:val="auto"/>
          <w:szCs w:val="21"/>
          <w:highlight w:val="none"/>
          <w:u w:val="none"/>
        </w:rPr>
        <w:t>、广西壮族自治区政府采购网</w:t>
      </w:r>
      <w:r>
        <w:rPr>
          <w:rStyle w:val="17"/>
          <w:rFonts w:hint="eastAsia" w:ascii="宋体" w:hAnsi="宋体"/>
          <w:color w:val="auto"/>
          <w:szCs w:val="21"/>
          <w:highlight w:val="none"/>
        </w:rPr>
        <w:t>(http://zfcg.gxzf.gov.cn)</w:t>
      </w:r>
      <w:r>
        <w:rPr>
          <w:rStyle w:val="17"/>
          <w:rFonts w:hint="eastAsia" w:ascii="宋体" w:hAnsi="宋体"/>
          <w:color w:val="auto"/>
          <w:szCs w:val="21"/>
          <w:highlight w:val="none"/>
          <w:u w:val="none"/>
        </w:rPr>
        <w:t>、广西祥立工程咨询有限责任公司网</w:t>
      </w:r>
      <w:r>
        <w:rPr>
          <w:rStyle w:val="17"/>
          <w:rFonts w:hint="eastAsia" w:ascii="宋体" w:hAnsi="宋体"/>
          <w:color w:val="auto"/>
          <w:szCs w:val="21"/>
          <w:highlight w:val="none"/>
        </w:rPr>
        <w:t>(http://www.gxxiangli.cn)</w:t>
      </w:r>
      <w:r>
        <w:rPr>
          <w:rStyle w:val="17"/>
          <w:rFonts w:hint="eastAsia" w:ascii="宋体" w:hAnsi="宋体"/>
          <w:color w:val="auto"/>
          <w:szCs w:val="21"/>
          <w:highlight w:val="none"/>
        </w:rPr>
        <w:fldChar w:fldCharType="end"/>
      </w:r>
      <w:r>
        <w:rPr>
          <w:rFonts w:hint="eastAsia" w:ascii="宋体" w:hAnsi="宋体"/>
          <w:color w:val="auto"/>
          <w:szCs w:val="21"/>
          <w:highlight w:val="none"/>
        </w:rPr>
        <w:t>。</w:t>
      </w:r>
    </w:p>
    <w:p>
      <w:pPr>
        <w:spacing w:line="400" w:lineRule="exact"/>
        <w:ind w:firstLine="4515" w:firstLineChars="2150"/>
        <w:jc w:val="right"/>
        <w:rPr>
          <w:rFonts w:ascii="宋体" w:hAnsi="宋体"/>
          <w:color w:val="auto"/>
          <w:szCs w:val="21"/>
          <w:highlight w:val="none"/>
        </w:rPr>
      </w:pPr>
      <w:r>
        <w:rPr>
          <w:rFonts w:hint="eastAsia" w:ascii="宋体" w:hAnsi="宋体"/>
          <w:color w:val="auto"/>
          <w:szCs w:val="21"/>
          <w:highlight w:val="none"/>
        </w:rPr>
        <w:t>广西祥立工程咨询有限责任公司</w:t>
      </w:r>
    </w:p>
    <w:p>
      <w:pPr>
        <w:spacing w:line="400" w:lineRule="exact"/>
        <w:ind w:firstLine="5250" w:firstLineChars="2500"/>
        <w:jc w:val="right"/>
        <w:rPr>
          <w:rFonts w:ascii="宋体" w:hAnsi="宋体"/>
          <w:color w:val="auto"/>
          <w:sz w:val="24"/>
          <w:highlight w:val="none"/>
        </w:rPr>
        <w:sectPr>
          <w:headerReference r:id="rId12" w:type="default"/>
          <w:footerReference r:id="rId13" w:type="default"/>
          <w:pgSz w:w="11907" w:h="16840"/>
          <w:pgMar w:top="1361" w:right="1418" w:bottom="1134" w:left="1418" w:header="737" w:footer="737" w:gutter="0"/>
          <w:pgNumType w:start="1"/>
          <w:cols w:space="720" w:num="1"/>
          <w:docGrid w:linePitch="381" w:charSpace="0"/>
        </w:sectPr>
      </w:pPr>
      <w:r>
        <w:rPr>
          <w:rFonts w:hint="eastAsia" w:ascii="宋体" w:hAnsi="宋体"/>
          <w:color w:val="auto"/>
          <w:szCs w:val="21"/>
          <w:highlight w:val="none"/>
        </w:rPr>
        <w:t>2019年8月</w:t>
      </w:r>
      <w:r>
        <w:rPr>
          <w:rFonts w:hint="eastAsia" w:ascii="宋体" w:hAnsi="宋体"/>
          <w:color w:val="auto"/>
          <w:szCs w:val="21"/>
          <w:highlight w:val="none"/>
          <w:lang w:val="en-US" w:eastAsia="zh-CN"/>
        </w:rPr>
        <w:t>20</w:t>
      </w:r>
      <w:r>
        <w:rPr>
          <w:rFonts w:hint="eastAsia" w:ascii="宋体" w:hAnsi="宋体"/>
          <w:color w:val="auto"/>
          <w:szCs w:val="21"/>
          <w:highlight w:val="none"/>
        </w:rPr>
        <w:t>日</w:t>
      </w:r>
    </w:p>
    <w:p>
      <w:pPr>
        <w:pStyle w:val="3"/>
        <w:rPr>
          <w:color w:val="auto"/>
          <w:szCs w:val="44"/>
          <w:highlight w:val="none"/>
        </w:rPr>
      </w:pPr>
      <w:bookmarkStart w:id="26" w:name="_Toc230929094"/>
      <w:bookmarkStart w:id="27" w:name="_Toc10554"/>
      <w:bookmarkStart w:id="28" w:name="_Toc185702968"/>
      <w:bookmarkStart w:id="29" w:name="_Toc200308926"/>
      <w:bookmarkStart w:id="30" w:name="_Toc7675"/>
      <w:bookmarkStart w:id="31" w:name="_Toc371605766"/>
      <w:bookmarkStart w:id="32" w:name="_Toc147248396"/>
      <w:bookmarkStart w:id="33" w:name="_Toc200268324"/>
      <w:bookmarkStart w:id="34" w:name="_Toc231115974"/>
      <w:bookmarkStart w:id="35" w:name="_Toc185702546"/>
      <w:bookmarkStart w:id="36" w:name="_Toc25121"/>
      <w:bookmarkStart w:id="37" w:name="_Toc156106929"/>
      <w:bookmarkStart w:id="38" w:name="_Toc26772"/>
      <w:bookmarkStart w:id="39" w:name="_Toc199780446"/>
      <w:bookmarkStart w:id="40" w:name="_Toc230949333"/>
      <w:r>
        <w:rPr>
          <w:rFonts w:hint="eastAsia"/>
          <w:color w:val="auto"/>
          <w:highlight w:val="none"/>
        </w:rPr>
        <w:t>第二章 竞标人须知及前附表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Start w:id="41" w:name="_Toc231115975"/>
      <w:bookmarkStart w:id="42" w:name="_Toc371605767"/>
      <w:bookmarkStart w:id="43" w:name="_Toc299457076"/>
      <w:bookmarkStart w:id="44" w:name="_Toc267603557"/>
      <w:bookmarkStart w:id="45" w:name="_Toc185702547"/>
      <w:bookmarkStart w:id="46" w:name="_Toc200268237"/>
      <w:bookmarkStart w:id="47" w:name="_Toc231115906"/>
    </w:p>
    <w:bookmarkEnd w:id="41"/>
    <w:bookmarkEnd w:id="42"/>
    <w:bookmarkEnd w:id="43"/>
    <w:bookmarkEnd w:id="44"/>
    <w:bookmarkEnd w:id="45"/>
    <w:bookmarkEnd w:id="46"/>
    <w:bookmarkEnd w:id="47"/>
    <w:tbl>
      <w:tblPr>
        <w:tblStyle w:val="14"/>
        <w:tblW w:w="8914"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44"/>
        <w:gridCol w:w="1726"/>
        <w:gridCol w:w="644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tblHeader/>
          <w:jc w:val="center"/>
        </w:trPr>
        <w:tc>
          <w:tcPr>
            <w:tcW w:w="744" w:type="dxa"/>
            <w:vAlign w:val="center"/>
          </w:tcPr>
          <w:p>
            <w:pPr>
              <w:adjustRightInd w:val="0"/>
              <w:snapToGrid w:val="0"/>
              <w:spacing w:line="400" w:lineRule="exact"/>
              <w:ind w:left="-105" w:leftChars="-50" w:right="-105" w:rightChars="-50"/>
              <w:jc w:val="center"/>
              <w:rPr>
                <w:rFonts w:ascii="宋体" w:hAnsi="宋体"/>
                <w:b/>
                <w:color w:val="auto"/>
                <w:szCs w:val="21"/>
                <w:highlight w:val="none"/>
              </w:rPr>
            </w:pPr>
            <w:r>
              <w:rPr>
                <w:rFonts w:hint="eastAsia" w:ascii="宋体" w:hAnsi="宋体"/>
                <w:b/>
                <w:color w:val="auto"/>
                <w:szCs w:val="21"/>
                <w:highlight w:val="none"/>
              </w:rPr>
              <w:t>序号</w:t>
            </w:r>
          </w:p>
        </w:tc>
        <w:tc>
          <w:tcPr>
            <w:tcW w:w="1726" w:type="dxa"/>
            <w:vAlign w:val="center"/>
          </w:tcPr>
          <w:p>
            <w:pPr>
              <w:pStyle w:val="6"/>
              <w:adjustRightInd w:val="0"/>
              <w:snapToGrid w:val="0"/>
              <w:spacing w:line="400" w:lineRule="exact"/>
              <w:ind w:right="-105" w:rightChars="-50"/>
              <w:jc w:val="center"/>
              <w:rPr>
                <w:rFonts w:ascii="宋体" w:hAnsi="宋体"/>
                <w:b/>
                <w:color w:val="auto"/>
                <w:sz w:val="21"/>
                <w:szCs w:val="21"/>
                <w:highlight w:val="none"/>
              </w:rPr>
            </w:pPr>
            <w:r>
              <w:rPr>
                <w:rFonts w:hint="eastAsia" w:ascii="宋体" w:hAnsi="宋体"/>
                <w:b/>
                <w:color w:val="auto"/>
                <w:sz w:val="21"/>
                <w:szCs w:val="21"/>
                <w:highlight w:val="none"/>
              </w:rPr>
              <w:t>内  容</w:t>
            </w:r>
          </w:p>
        </w:tc>
        <w:tc>
          <w:tcPr>
            <w:tcW w:w="6444" w:type="dxa"/>
            <w:vAlign w:val="center"/>
          </w:tcPr>
          <w:p>
            <w:pPr>
              <w:adjustRightInd w:val="0"/>
              <w:snapToGrid w:val="0"/>
              <w:spacing w:line="400" w:lineRule="exact"/>
              <w:jc w:val="center"/>
              <w:rPr>
                <w:rFonts w:ascii="宋体" w:hAnsi="宋体"/>
                <w:b/>
                <w:color w:val="auto"/>
                <w:szCs w:val="21"/>
                <w:highlight w:val="none"/>
              </w:rPr>
            </w:pPr>
            <w:r>
              <w:rPr>
                <w:rFonts w:hint="eastAsia" w:ascii="宋体" w:hAnsi="宋体"/>
                <w:b/>
                <w:color w:val="auto"/>
                <w:szCs w:val="21"/>
                <w:highlight w:val="none"/>
              </w:rPr>
              <w:t>规     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69"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项目名称</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s="宋体"/>
                <w:bCs/>
                <w:caps/>
                <w:color w:val="auto"/>
                <w:szCs w:val="21"/>
                <w:highlight w:val="none"/>
              </w:rPr>
              <w:t>法院移动办公办案终端及基础数据流量租用服务采购项目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rPr>
                <w:rFonts w:ascii="宋体" w:hAnsi="宋体" w:cs="宋体"/>
                <w:color w:val="auto"/>
                <w:szCs w:val="21"/>
                <w:highlight w:val="none"/>
                <w:shd w:val="pct10" w:color="auto" w:fill="FFFFFF"/>
              </w:rPr>
            </w:pPr>
            <w:r>
              <w:rPr>
                <w:rFonts w:hint="eastAsia" w:ascii="宋体" w:hAnsi="宋体" w:cs="宋体"/>
                <w:color w:val="auto"/>
                <w:szCs w:val="21"/>
                <w:highlight w:val="none"/>
                <w:shd w:val="pct10" w:color="auto" w:fill="FFFFFF"/>
              </w:rPr>
              <w:t xml:space="preserve">  2</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采购人</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东兰县人民法院</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5" w:hRule="atLeast"/>
          <w:jc w:val="center"/>
        </w:trPr>
        <w:tc>
          <w:tcPr>
            <w:tcW w:w="744" w:type="dxa"/>
            <w:vAlign w:val="center"/>
          </w:tcPr>
          <w:p>
            <w:pPr>
              <w:adjustRightInd w:val="0"/>
              <w:snapToGrid w:val="0"/>
              <w:spacing w:line="400" w:lineRule="exact"/>
              <w:rPr>
                <w:rFonts w:ascii="宋体" w:hAnsi="宋体" w:cs="宋体"/>
                <w:color w:val="auto"/>
                <w:szCs w:val="21"/>
                <w:highlight w:val="none"/>
                <w:shd w:val="pct10" w:color="auto" w:fill="FFFFFF"/>
              </w:rPr>
            </w:pPr>
            <w:r>
              <w:rPr>
                <w:rFonts w:hint="eastAsia" w:ascii="宋体" w:hAnsi="宋体" w:cs="宋体"/>
                <w:color w:val="auto"/>
                <w:szCs w:val="21"/>
                <w:highlight w:val="none"/>
                <w:shd w:val="pct10" w:color="auto" w:fill="FFFFFF"/>
              </w:rPr>
              <w:t xml:space="preserve">  3</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44" w:type="dxa"/>
            <w:vAlign w:val="center"/>
          </w:tcPr>
          <w:p>
            <w:pPr>
              <w:adjustRightInd w:val="0"/>
              <w:snapToGrid w:val="0"/>
              <w:spacing w:line="400" w:lineRule="exact"/>
              <w:ind w:right="-105" w:rightChars="-50"/>
              <w:rPr>
                <w:rFonts w:ascii="宋体" w:hAnsi="宋体" w:cs="宋体"/>
                <w:color w:val="auto"/>
                <w:szCs w:val="21"/>
                <w:highlight w:val="none"/>
              </w:rPr>
            </w:pPr>
            <w:r>
              <w:rPr>
                <w:rFonts w:hint="eastAsia" w:ascii="宋体" w:hAnsi="宋体" w:cs="宋体"/>
                <w:bCs/>
                <w:caps/>
                <w:color w:val="auto"/>
                <w:szCs w:val="21"/>
                <w:highlight w:val="none"/>
              </w:rPr>
              <w:t>东兰县人民法院内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shd w:val="pct10" w:color="auto" w:fill="FFFFFF"/>
              </w:rPr>
            </w:pPr>
            <w:r>
              <w:rPr>
                <w:rFonts w:hint="eastAsia" w:ascii="宋体" w:hAnsi="宋体" w:cs="宋体"/>
                <w:color w:val="auto"/>
                <w:szCs w:val="21"/>
                <w:highlight w:val="none"/>
                <w:shd w:val="pct10" w:color="auto" w:fill="FFFFFF"/>
              </w:rPr>
              <w:t>4</w:t>
            </w:r>
          </w:p>
        </w:tc>
        <w:tc>
          <w:tcPr>
            <w:tcW w:w="1726"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代理机构</w:t>
            </w:r>
          </w:p>
        </w:tc>
        <w:tc>
          <w:tcPr>
            <w:tcW w:w="6444" w:type="dxa"/>
            <w:vAlign w:val="center"/>
          </w:tcPr>
          <w:p>
            <w:pPr>
              <w:widowControl/>
              <w:shd w:val="clear" w:color="auto" w:fill="FFFFFF"/>
              <w:spacing w:line="400" w:lineRule="atLeast"/>
              <w:ind w:right="480"/>
              <w:rPr>
                <w:rFonts w:ascii="宋体" w:hAnsi="宋体" w:cs="宋体"/>
                <w:color w:val="auto"/>
                <w:szCs w:val="21"/>
                <w:highlight w:val="none"/>
              </w:rPr>
            </w:pPr>
            <w:r>
              <w:rPr>
                <w:rFonts w:hint="eastAsia" w:ascii="宋体" w:hAnsi="宋体" w:cs="宋体"/>
                <w:bCs/>
                <w:color w:val="auto"/>
                <w:szCs w:val="21"/>
                <w:highlight w:val="none"/>
              </w:rPr>
              <w:t>广西祥立工程咨询有限责任公司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snapToGrid w:val="0"/>
                <w:color w:val="auto"/>
                <w:szCs w:val="21"/>
                <w:highlight w:val="none"/>
              </w:rPr>
            </w:pPr>
            <w:r>
              <w:rPr>
                <w:rFonts w:hint="eastAsia" w:ascii="宋体" w:hAnsi="宋体" w:cs="宋体"/>
                <w:snapToGrid w:val="0"/>
                <w:color w:val="auto"/>
                <w:szCs w:val="21"/>
                <w:highlight w:val="none"/>
              </w:rPr>
              <w:t>5</w:t>
            </w:r>
          </w:p>
        </w:tc>
        <w:tc>
          <w:tcPr>
            <w:tcW w:w="1726" w:type="dxa"/>
            <w:vAlign w:val="center"/>
          </w:tcPr>
          <w:p>
            <w:pPr>
              <w:adjustRightInd w:val="0"/>
              <w:snapToGrid w:val="0"/>
              <w:spacing w:line="400" w:lineRule="exact"/>
              <w:ind w:right="-105" w:rightChars="-50"/>
              <w:jc w:val="center"/>
              <w:rPr>
                <w:rFonts w:ascii="宋体" w:hAnsi="宋体" w:cs="宋体"/>
                <w:snapToGrid w:val="0"/>
                <w:color w:val="auto"/>
                <w:szCs w:val="21"/>
                <w:highlight w:val="none"/>
              </w:rPr>
            </w:pPr>
            <w:r>
              <w:rPr>
                <w:rFonts w:hint="eastAsia" w:ascii="宋体" w:hAnsi="宋体" w:cs="宋体"/>
                <w:snapToGrid w:val="0"/>
                <w:color w:val="auto"/>
                <w:szCs w:val="21"/>
                <w:highlight w:val="none"/>
              </w:rPr>
              <w:t>现场管理机构</w:t>
            </w:r>
          </w:p>
        </w:tc>
        <w:tc>
          <w:tcPr>
            <w:tcW w:w="6444" w:type="dxa"/>
            <w:vAlign w:val="center"/>
          </w:tcPr>
          <w:p>
            <w:pPr>
              <w:pStyle w:val="6"/>
              <w:adjustRightInd w:val="0"/>
              <w:snapToGrid w:val="0"/>
              <w:spacing w:line="400" w:lineRule="exact"/>
              <w:rPr>
                <w:rFonts w:ascii="宋体" w:hAnsi="宋体" w:cs="宋体"/>
                <w:color w:val="auto"/>
                <w:sz w:val="21"/>
                <w:szCs w:val="21"/>
                <w:highlight w:val="none"/>
              </w:rPr>
            </w:pPr>
            <w:r>
              <w:rPr>
                <w:rFonts w:hint="eastAsia" w:ascii="宋体" w:hAnsi="宋体" w:cs="宋体"/>
                <w:color w:val="auto"/>
                <w:sz w:val="21"/>
                <w:szCs w:val="21"/>
                <w:highlight w:val="none"/>
              </w:rPr>
              <w:t>东兰县人民法院</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6</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资金来源</w:t>
            </w:r>
          </w:p>
        </w:tc>
        <w:tc>
          <w:tcPr>
            <w:tcW w:w="6444" w:type="dxa"/>
            <w:vAlign w:val="center"/>
          </w:tcPr>
          <w:p>
            <w:pPr>
              <w:pStyle w:val="6"/>
              <w:adjustRightInd w:val="0"/>
              <w:snapToGrid w:val="0"/>
              <w:spacing w:line="400" w:lineRule="exact"/>
              <w:rPr>
                <w:rFonts w:ascii="宋体" w:hAnsi="宋体" w:cs="宋体"/>
                <w:color w:val="auto"/>
                <w:sz w:val="21"/>
                <w:szCs w:val="21"/>
                <w:highlight w:val="none"/>
              </w:rPr>
            </w:pPr>
            <w:r>
              <w:rPr>
                <w:rFonts w:hint="eastAsia" w:ascii="宋体" w:hAnsi="宋体" w:cs="宋体"/>
                <w:color w:val="auto"/>
                <w:sz w:val="21"/>
                <w:szCs w:val="21"/>
                <w:highlight w:val="none"/>
              </w:rPr>
              <w:t>财政拨款。</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7</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服务工期</w:t>
            </w:r>
          </w:p>
        </w:tc>
        <w:tc>
          <w:tcPr>
            <w:tcW w:w="6444" w:type="dxa"/>
            <w:vAlign w:val="center"/>
          </w:tcPr>
          <w:p>
            <w:pPr>
              <w:pStyle w:val="6"/>
              <w:adjustRightInd w:val="0"/>
              <w:snapToGrid w:val="0"/>
              <w:spacing w:line="400" w:lineRule="exact"/>
              <w:rPr>
                <w:rFonts w:ascii="宋体" w:hAnsi="宋体" w:cs="宋体"/>
                <w:color w:val="auto"/>
                <w:sz w:val="21"/>
                <w:szCs w:val="21"/>
                <w:highlight w:val="none"/>
              </w:rPr>
            </w:pPr>
            <w:r>
              <w:rPr>
                <w:rFonts w:hint="eastAsia" w:ascii="宋体" w:hAnsi="宋体" w:cs="宋体"/>
                <w:color w:val="auto"/>
                <w:sz w:val="21"/>
                <w:szCs w:val="21"/>
                <w:highlight w:val="none"/>
              </w:rPr>
              <w:t>一年。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7"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8</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竞标范围</w:t>
            </w:r>
          </w:p>
        </w:tc>
        <w:tc>
          <w:tcPr>
            <w:tcW w:w="6444" w:type="dxa"/>
            <w:vAlign w:val="center"/>
          </w:tcPr>
          <w:p>
            <w:pPr>
              <w:widowControl/>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涉及</w:t>
            </w:r>
            <w:r>
              <w:rPr>
                <w:rFonts w:hint="eastAsia" w:ascii="宋体" w:hAnsi="宋体" w:cs="宋体"/>
                <w:bCs/>
                <w:color w:val="auto"/>
                <w:szCs w:val="21"/>
                <w:highlight w:val="none"/>
                <w:lang w:eastAsia="zh-CN"/>
              </w:rPr>
              <w:t>谈判采购技术规格、参数及要求</w:t>
            </w:r>
            <w:r>
              <w:rPr>
                <w:rFonts w:hint="eastAsia" w:ascii="宋体" w:hAnsi="宋体" w:cs="宋体"/>
                <w:color w:val="auto"/>
                <w:szCs w:val="21"/>
                <w:highlight w:val="none"/>
              </w:rPr>
              <w:t>所有内容，详见第四章。</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9</w:t>
            </w:r>
          </w:p>
        </w:tc>
        <w:tc>
          <w:tcPr>
            <w:tcW w:w="1726" w:type="dxa"/>
            <w:vAlign w:val="center"/>
          </w:tcPr>
          <w:p>
            <w:pPr>
              <w:pStyle w:val="6"/>
              <w:adjustRightInd w:val="0"/>
              <w:snapToGrid w:val="0"/>
              <w:spacing w:line="400" w:lineRule="exact"/>
              <w:ind w:right="-105" w:rightChars="-50"/>
              <w:jc w:val="center"/>
              <w:rPr>
                <w:rFonts w:ascii="宋体" w:hAnsi="宋体" w:cs="宋体"/>
                <w:color w:val="auto"/>
                <w:sz w:val="21"/>
                <w:szCs w:val="21"/>
                <w:highlight w:val="none"/>
              </w:rPr>
            </w:pPr>
            <w:r>
              <w:rPr>
                <w:rFonts w:hint="eastAsia" w:ascii="宋体" w:hAnsi="宋体" w:cs="宋体"/>
                <w:color w:val="auto"/>
                <w:sz w:val="21"/>
                <w:szCs w:val="21"/>
                <w:highlight w:val="none"/>
              </w:rPr>
              <w:t>竞标人</w:t>
            </w:r>
          </w:p>
          <w:p>
            <w:pPr>
              <w:pStyle w:val="6"/>
              <w:adjustRightInd w:val="0"/>
              <w:snapToGrid w:val="0"/>
              <w:spacing w:line="400" w:lineRule="exact"/>
              <w:ind w:right="-105" w:rightChars="-50"/>
              <w:jc w:val="center"/>
              <w:rPr>
                <w:rFonts w:ascii="宋体" w:hAnsi="宋体" w:cs="宋体"/>
                <w:color w:val="auto"/>
                <w:sz w:val="21"/>
                <w:szCs w:val="21"/>
                <w:highlight w:val="none"/>
              </w:rPr>
            </w:pPr>
            <w:r>
              <w:rPr>
                <w:rFonts w:hint="eastAsia" w:ascii="宋体" w:hAnsi="宋体" w:cs="宋体"/>
                <w:color w:val="auto"/>
                <w:sz w:val="21"/>
                <w:szCs w:val="21"/>
                <w:highlight w:val="none"/>
              </w:rPr>
              <w:t>资格要求</w:t>
            </w:r>
          </w:p>
        </w:tc>
        <w:tc>
          <w:tcPr>
            <w:tcW w:w="6444" w:type="dxa"/>
            <w:vAlign w:val="center"/>
          </w:tcPr>
          <w:p>
            <w:pPr>
              <w:spacing w:line="400" w:lineRule="exact"/>
              <w:rPr>
                <w:rFonts w:ascii="宋体" w:hAnsi="宋体"/>
                <w:color w:val="auto"/>
                <w:szCs w:val="21"/>
                <w:highlight w:val="none"/>
              </w:rPr>
            </w:pPr>
            <w:r>
              <w:rPr>
                <w:rFonts w:hint="eastAsia" w:ascii="宋体" w:hAnsi="宋体"/>
                <w:color w:val="auto"/>
                <w:szCs w:val="21"/>
                <w:highlight w:val="none"/>
              </w:rPr>
              <w:t>1．供应商必须是国内注册（指按国家有关规定注册的）并且具有国内独立法人</w:t>
            </w:r>
            <w:r>
              <w:rPr>
                <w:rFonts w:hint="eastAsia" w:ascii="宋体" w:hAnsi="宋体"/>
                <w:szCs w:val="21"/>
                <w:highlight w:val="none"/>
              </w:rPr>
              <w:t>或其下属分支机构负责人资格</w:t>
            </w:r>
            <w:r>
              <w:rPr>
                <w:rFonts w:hint="eastAsia" w:ascii="宋体" w:hAnsi="宋体"/>
                <w:color w:val="auto"/>
                <w:szCs w:val="21"/>
                <w:highlight w:val="none"/>
              </w:rPr>
              <w:t>及符合《中华人民共和国政府采购法》第二十二条规定的供应商；</w:t>
            </w:r>
          </w:p>
          <w:p>
            <w:pPr>
              <w:spacing w:line="400" w:lineRule="exact"/>
              <w:rPr>
                <w:rFonts w:ascii="宋体" w:hAnsi="宋体"/>
                <w:color w:val="auto"/>
                <w:szCs w:val="21"/>
                <w:highlight w:val="none"/>
              </w:rPr>
            </w:pPr>
            <w:r>
              <w:rPr>
                <w:rFonts w:hint="eastAsia" w:ascii="宋体" w:hAnsi="宋体"/>
                <w:color w:val="auto"/>
                <w:szCs w:val="21"/>
                <w:highlight w:val="none"/>
              </w:rPr>
              <w:t>2.国内注册（指按国家工商管理或国家事业单位管理有关规定要求核准登记的），经营范围达到本次招标服务要求的供应商。</w:t>
            </w:r>
          </w:p>
          <w:p>
            <w:pPr>
              <w:pStyle w:val="2"/>
              <w:ind w:firstLine="0"/>
              <w:rPr>
                <w:color w:val="auto"/>
                <w:highlight w:val="none"/>
              </w:rPr>
            </w:pPr>
            <w:r>
              <w:rPr>
                <w:rFonts w:hint="eastAsia"/>
                <w:color w:val="auto"/>
                <w:highlight w:val="none"/>
              </w:rPr>
              <w:t>3.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spacing w:line="400" w:lineRule="exact"/>
              <w:rPr>
                <w:rFonts w:ascii="宋体" w:hAnsi="宋体"/>
                <w:color w:val="auto"/>
                <w:szCs w:val="21"/>
                <w:highlight w:val="none"/>
              </w:rPr>
            </w:pPr>
            <w:r>
              <w:rPr>
                <w:rFonts w:hint="eastAsia" w:ascii="宋体" w:hAnsi="宋体"/>
                <w:color w:val="auto"/>
                <w:szCs w:val="21"/>
                <w:highlight w:val="none"/>
              </w:rPr>
              <w:t>4．对在“信用中国”网站（www.creditchina.gov.cn）、中国政府采购网（www.ccgp.gov.cn）等渠道列入失信被执行人、重大税收违法案件当事人名单、政府采购严重违法失信行为记录名单及其他不符合《中华人民共和国政府采购法》第二十二条规定的供应商，不得参与政府采购活动；</w:t>
            </w:r>
          </w:p>
          <w:p>
            <w:pPr>
              <w:spacing w:line="400" w:lineRule="exact"/>
              <w:rPr>
                <w:rFonts w:ascii="宋体" w:hAnsi="宋体"/>
                <w:color w:val="auto"/>
                <w:szCs w:val="21"/>
                <w:highlight w:val="none"/>
              </w:rPr>
            </w:pPr>
            <w:r>
              <w:rPr>
                <w:rFonts w:hint="eastAsia" w:ascii="宋体" w:hAnsi="宋体"/>
                <w:color w:val="auto"/>
                <w:szCs w:val="21"/>
                <w:highlight w:val="none"/>
              </w:rPr>
              <w:t>5、本项目不接受联合体投标。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404"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10</w:t>
            </w:r>
          </w:p>
        </w:tc>
        <w:tc>
          <w:tcPr>
            <w:tcW w:w="1726" w:type="dxa"/>
            <w:vAlign w:val="center"/>
          </w:tcPr>
          <w:p>
            <w:pPr>
              <w:pStyle w:val="6"/>
              <w:adjustRightInd w:val="0"/>
              <w:snapToGrid w:val="0"/>
              <w:spacing w:line="400" w:lineRule="exact"/>
              <w:jc w:val="center"/>
              <w:rPr>
                <w:rFonts w:ascii="宋体" w:hAnsi="宋体" w:cs="宋体"/>
                <w:color w:val="auto"/>
                <w:sz w:val="21"/>
                <w:szCs w:val="21"/>
                <w:highlight w:val="none"/>
                <w:shd w:val="pct10" w:color="auto" w:fill="FFFFFF"/>
              </w:rPr>
            </w:pPr>
            <w:r>
              <w:rPr>
                <w:rFonts w:hint="eastAsia" w:ascii="宋体" w:hAnsi="宋体" w:cs="宋体"/>
                <w:color w:val="auto"/>
                <w:sz w:val="21"/>
                <w:szCs w:val="21"/>
                <w:highlight w:val="none"/>
              </w:rPr>
              <w:t>竞争性谈判文件的澄清与答疑</w:t>
            </w:r>
          </w:p>
        </w:tc>
        <w:tc>
          <w:tcPr>
            <w:tcW w:w="6444" w:type="dxa"/>
            <w:vAlign w:val="center"/>
          </w:tcPr>
          <w:p>
            <w:pPr>
              <w:pStyle w:val="18"/>
              <w:spacing w:line="360" w:lineRule="auto"/>
              <w:rPr>
                <w:color w:val="auto"/>
                <w:szCs w:val="21"/>
                <w:highlight w:val="none"/>
              </w:rPr>
            </w:pPr>
            <w:r>
              <w:rPr>
                <w:rFonts w:hint="eastAsia"/>
                <w:snapToGrid w:val="0"/>
                <w:color w:val="auto"/>
                <w:szCs w:val="21"/>
                <w:highlight w:val="none"/>
              </w:rPr>
              <w:t>竞标人如有疑问与异议，请将有关疑问与异议在递交响应文件文件截止时间2日前传真至代理机构（</w:t>
            </w:r>
            <w:r>
              <w:rPr>
                <w:rFonts w:hint="eastAsia"/>
                <w:bCs/>
                <w:color w:val="auto"/>
                <w:szCs w:val="21"/>
                <w:highlight w:val="none"/>
              </w:rPr>
              <w:t>广西祥立工程咨询有限责任公司</w:t>
            </w:r>
            <w:r>
              <w:rPr>
                <w:rFonts w:hint="eastAsia"/>
                <w:snapToGrid w:val="0"/>
                <w:color w:val="auto"/>
                <w:szCs w:val="21"/>
                <w:highlight w:val="none"/>
              </w:rPr>
              <w:t>），</w:t>
            </w:r>
            <w:r>
              <w:rPr>
                <w:rFonts w:hint="eastAsia"/>
                <w:color w:val="auto"/>
                <w:szCs w:val="21"/>
                <w:highlight w:val="none"/>
              </w:rPr>
              <w:t>竞争性谈判文件的澄清、修改将在</w:t>
            </w:r>
            <w:r>
              <w:rPr>
                <w:color w:val="auto"/>
                <w:highlight w:val="none"/>
              </w:rPr>
              <w:fldChar w:fldCharType="begin"/>
            </w:r>
            <w:r>
              <w:rPr>
                <w:color w:val="auto"/>
                <w:highlight w:val="none"/>
              </w:rPr>
              <w:instrText xml:space="preserve"> HYPERLINK "http://www.ccgp.gov.cn（中国政府采购网）、www.gxzfcg.gov.cn" </w:instrText>
            </w:r>
            <w:r>
              <w:rPr>
                <w:color w:val="auto"/>
                <w:highlight w:val="none"/>
              </w:rPr>
              <w:fldChar w:fldCharType="separate"/>
            </w:r>
            <w:r>
              <w:rPr>
                <w:rFonts w:hint="eastAsia"/>
                <w:color w:val="auto"/>
                <w:highlight w:val="none"/>
              </w:rPr>
              <w:t>中国政府采购网</w:t>
            </w:r>
            <w:r>
              <w:rPr>
                <w:rStyle w:val="17"/>
                <w:rFonts w:hint="eastAsia"/>
                <w:color w:val="auto"/>
                <w:szCs w:val="21"/>
                <w:highlight w:val="none"/>
              </w:rPr>
              <w:t>（http://www.ccgp.gov.cn）</w:t>
            </w:r>
            <w:r>
              <w:rPr>
                <w:rStyle w:val="17"/>
                <w:rFonts w:hint="eastAsia"/>
                <w:color w:val="auto"/>
                <w:szCs w:val="21"/>
                <w:highlight w:val="none"/>
                <w:u w:val="none"/>
              </w:rPr>
              <w:t>、广西壮族自治区政府采购网</w:t>
            </w:r>
            <w:r>
              <w:rPr>
                <w:rStyle w:val="17"/>
                <w:rFonts w:hint="eastAsia"/>
                <w:color w:val="auto"/>
                <w:szCs w:val="21"/>
                <w:highlight w:val="none"/>
              </w:rPr>
              <w:t xml:space="preserve">( </w:t>
            </w:r>
            <w:r>
              <w:rPr>
                <w:rStyle w:val="17"/>
                <w:rFonts w:hint="eastAsia"/>
                <w:color w:val="auto"/>
                <w:szCs w:val="21"/>
                <w:highlight w:val="none"/>
                <w:lang w:eastAsia="zh-CN"/>
              </w:rPr>
              <w:t>http://zfcg.gxzf.gov.cn</w:t>
            </w:r>
            <w:r>
              <w:rPr>
                <w:rStyle w:val="17"/>
                <w:rFonts w:hint="eastAsia"/>
                <w:color w:val="auto"/>
                <w:szCs w:val="21"/>
                <w:highlight w:val="none"/>
              </w:rPr>
              <w:t>)</w:t>
            </w:r>
            <w:r>
              <w:rPr>
                <w:rStyle w:val="17"/>
                <w:rFonts w:hint="eastAsia"/>
                <w:color w:val="auto"/>
                <w:szCs w:val="21"/>
                <w:highlight w:val="none"/>
                <w:u w:val="none"/>
              </w:rPr>
              <w:t>、广西祥立工程咨询有限责任公司网</w:t>
            </w:r>
            <w:r>
              <w:rPr>
                <w:rStyle w:val="17"/>
                <w:rFonts w:hint="eastAsia"/>
                <w:color w:val="auto"/>
                <w:szCs w:val="21"/>
                <w:highlight w:val="none"/>
              </w:rPr>
              <w:t>(http://www.gxxiangli.cn)</w:t>
            </w:r>
            <w:r>
              <w:rPr>
                <w:rStyle w:val="17"/>
                <w:rFonts w:hint="eastAsia"/>
                <w:color w:val="auto"/>
                <w:szCs w:val="21"/>
                <w:highlight w:val="none"/>
              </w:rPr>
              <w:fldChar w:fldCharType="end"/>
            </w:r>
            <w:r>
              <w:rPr>
                <w:rFonts w:hint="eastAsia"/>
                <w:color w:val="auto"/>
                <w:highlight w:val="none"/>
              </w:rPr>
              <w:t xml:space="preserve"> 网上发布</w:t>
            </w:r>
            <w:r>
              <w:rPr>
                <w:rFonts w:hint="eastAsia"/>
                <w:color w:val="auto"/>
                <w:szCs w:val="21"/>
                <w:highlight w:val="none"/>
              </w:rPr>
              <w:t>。所有竞标人有义务在网上自行查询，无需以书面形式回复。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128"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11</w:t>
            </w:r>
          </w:p>
        </w:tc>
        <w:tc>
          <w:tcPr>
            <w:tcW w:w="1726" w:type="dxa"/>
            <w:vAlign w:val="center"/>
          </w:tcPr>
          <w:p>
            <w:pPr>
              <w:rPr>
                <w:rFonts w:ascii="宋体" w:hAnsi="宋体" w:cs="宋体"/>
                <w:color w:val="auto"/>
                <w:szCs w:val="21"/>
                <w:highlight w:val="none"/>
              </w:rPr>
            </w:pPr>
            <w:r>
              <w:rPr>
                <w:rFonts w:hint="eastAsia" w:ascii="宋体" w:hAnsi="宋体" w:cs="宋体"/>
                <w:color w:val="auto"/>
                <w:szCs w:val="21"/>
                <w:highlight w:val="none"/>
              </w:rPr>
              <w:t xml:space="preserve"> 最高投标限价</w:t>
            </w:r>
          </w:p>
        </w:tc>
        <w:tc>
          <w:tcPr>
            <w:tcW w:w="6444" w:type="dxa"/>
            <w:vAlign w:val="center"/>
          </w:tcPr>
          <w:p>
            <w:pPr>
              <w:numPr>
                <w:ilvl w:val="0"/>
                <w:numId w:val="1"/>
              </w:numPr>
              <w:adjustRightInd w:val="0"/>
              <w:snapToGrid w:val="0"/>
              <w:spacing w:line="400" w:lineRule="exact"/>
              <w:jc w:val="left"/>
              <w:rPr>
                <w:rFonts w:ascii="宋体" w:hAnsi="宋体" w:cs="宋体"/>
                <w:color w:val="auto"/>
                <w:szCs w:val="21"/>
                <w:highlight w:val="none"/>
              </w:rPr>
            </w:pPr>
            <w:r>
              <w:rPr>
                <w:rFonts w:hint="eastAsia" w:ascii="宋体" w:hAnsi="宋体" w:cs="宋体"/>
                <w:color w:val="auto"/>
                <w:szCs w:val="21"/>
                <w:highlight w:val="none"/>
              </w:rPr>
              <w:t>本项目采购预算价为最高投标限价。</w:t>
            </w:r>
          </w:p>
          <w:p>
            <w:pPr>
              <w:numPr>
                <w:ilvl w:val="0"/>
                <w:numId w:val="1"/>
              </w:numPr>
              <w:adjustRightInd w:val="0"/>
              <w:snapToGrid w:val="0"/>
              <w:spacing w:line="400" w:lineRule="exact"/>
              <w:jc w:val="left"/>
              <w:rPr>
                <w:rFonts w:ascii="宋体" w:hAnsi="宋体" w:cs="宋体"/>
                <w:snapToGrid w:val="0"/>
                <w:color w:val="auto"/>
                <w:szCs w:val="21"/>
                <w:highlight w:val="none"/>
              </w:rPr>
            </w:pPr>
            <w:r>
              <w:rPr>
                <w:rStyle w:val="19"/>
                <w:rFonts w:hint="eastAsia" w:cs="宋体"/>
                <w:color w:val="auto"/>
                <w:szCs w:val="21"/>
                <w:highlight w:val="none"/>
              </w:rPr>
              <w:t>本项目最高投标限价为</w:t>
            </w:r>
            <w:r>
              <w:rPr>
                <w:rFonts w:hint="eastAsia" w:ascii="宋体" w:hAnsi="宋体"/>
                <w:color w:val="auto"/>
                <w:szCs w:val="21"/>
                <w:highlight w:val="none"/>
                <w:u w:val="single"/>
              </w:rPr>
              <w:t>492190.00元</w:t>
            </w:r>
            <w:r>
              <w:rPr>
                <w:rFonts w:hint="eastAsia" w:ascii="宋体" w:hAnsi="宋体" w:cs="宋体"/>
                <w:color w:val="auto"/>
                <w:szCs w:val="21"/>
                <w:highlight w:val="none"/>
              </w:rPr>
              <w:t>,各投标单位的投标报价不得高于该投标限价，否则谈判小组将否决其投标。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965"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12</w:t>
            </w:r>
          </w:p>
        </w:tc>
        <w:tc>
          <w:tcPr>
            <w:tcW w:w="1726" w:type="dxa"/>
            <w:vAlign w:val="center"/>
          </w:tcPr>
          <w:p>
            <w:pPr>
              <w:pStyle w:val="6"/>
              <w:adjustRightInd w:val="0"/>
              <w:snapToGrid w:val="0"/>
              <w:spacing w:line="400" w:lineRule="exact"/>
              <w:jc w:val="center"/>
              <w:rPr>
                <w:rFonts w:ascii="宋体" w:hAnsi="宋体" w:cs="宋体"/>
                <w:color w:val="auto"/>
                <w:sz w:val="21"/>
                <w:szCs w:val="21"/>
                <w:highlight w:val="none"/>
              </w:rPr>
            </w:pPr>
            <w:r>
              <w:rPr>
                <w:rFonts w:hint="eastAsia" w:ascii="宋体" w:hAnsi="宋体" w:cs="宋体"/>
                <w:color w:val="auto"/>
                <w:sz w:val="21"/>
                <w:szCs w:val="21"/>
                <w:highlight w:val="none"/>
              </w:rPr>
              <w:t>报价要求</w:t>
            </w:r>
          </w:p>
        </w:tc>
        <w:tc>
          <w:tcPr>
            <w:tcW w:w="6444" w:type="dxa"/>
            <w:vAlign w:val="center"/>
          </w:tcPr>
          <w:p>
            <w:pPr>
              <w:adjustRightInd w:val="0"/>
              <w:snapToGrid w:val="0"/>
              <w:spacing w:line="400" w:lineRule="exact"/>
              <w:ind w:left="-4" w:leftChars="-2"/>
              <w:jc w:val="left"/>
              <w:rPr>
                <w:rFonts w:ascii="宋体" w:hAnsi="宋体" w:cs="宋体"/>
                <w:snapToGrid w:val="0"/>
                <w:color w:val="auto"/>
                <w:szCs w:val="21"/>
                <w:highlight w:val="none"/>
              </w:rPr>
            </w:pPr>
            <w:r>
              <w:rPr>
                <w:rFonts w:hint="eastAsia" w:ascii="宋体" w:hAnsi="宋体" w:cs="宋体"/>
                <w:color w:val="auto"/>
                <w:szCs w:val="21"/>
                <w:highlight w:val="none"/>
              </w:rPr>
              <w:t>报价应包含竞标人完成本项目所发生的服务范围规定的项目，竞标人发生漏报，少报等情况由竞标人自负。</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63"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13</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谈判保证金</w:t>
            </w:r>
          </w:p>
        </w:tc>
        <w:tc>
          <w:tcPr>
            <w:tcW w:w="6444" w:type="dxa"/>
            <w:vAlign w:val="center"/>
          </w:tcPr>
          <w:tbl>
            <w:tblPr>
              <w:tblStyle w:val="14"/>
              <w:tblW w:w="6498" w:type="dxa"/>
              <w:jc w:val="center"/>
              <w:tblInd w:w="0" w:type="dxa"/>
              <w:tblLayout w:type="fixed"/>
              <w:tblCellMar>
                <w:top w:w="0" w:type="dxa"/>
                <w:left w:w="108" w:type="dxa"/>
                <w:bottom w:w="0" w:type="dxa"/>
                <w:right w:w="108" w:type="dxa"/>
              </w:tblCellMar>
            </w:tblPr>
            <w:tblGrid>
              <w:gridCol w:w="6498"/>
            </w:tblGrid>
            <w:tr>
              <w:tblPrEx>
                <w:tblLayout w:type="fixed"/>
                <w:tblCellMar>
                  <w:top w:w="0" w:type="dxa"/>
                  <w:left w:w="108" w:type="dxa"/>
                  <w:bottom w:w="0" w:type="dxa"/>
                  <w:right w:w="108" w:type="dxa"/>
                </w:tblCellMar>
              </w:tblPrEx>
              <w:trPr>
                <w:trHeight w:val="578" w:hRule="atLeast"/>
                <w:jc w:val="center"/>
              </w:trPr>
              <w:tc>
                <w:tcPr>
                  <w:tcW w:w="6498" w:type="dxa"/>
                  <w:vAlign w:val="center"/>
                </w:tcPr>
                <w:p>
                  <w:pPr>
                    <w:pStyle w:val="20"/>
                    <w:spacing w:line="340" w:lineRule="exact"/>
                    <w:rPr>
                      <w:rFonts w:ascii="宋体" w:hAnsi="宋体" w:cs="宋体"/>
                      <w:color w:val="auto"/>
                      <w:sz w:val="21"/>
                      <w:szCs w:val="21"/>
                      <w:highlight w:val="none"/>
                    </w:rPr>
                  </w:pPr>
                  <w:r>
                    <w:rPr>
                      <w:rFonts w:hint="eastAsia" w:ascii="宋体" w:hAnsi="宋体" w:cs="宋体"/>
                      <w:color w:val="auto"/>
                      <w:sz w:val="21"/>
                      <w:szCs w:val="21"/>
                      <w:highlight w:val="none"/>
                    </w:rPr>
                    <w:t>谈判保证金的形式：由在中华人民共和国注册经营的银行出具的电汇或转帐，须由竞标人基本账户汇出；</w:t>
                  </w:r>
                </w:p>
                <w:p>
                  <w:pPr>
                    <w:pStyle w:val="20"/>
                    <w:spacing w:line="340" w:lineRule="exact"/>
                    <w:rPr>
                      <w:rFonts w:ascii="宋体" w:hAnsi="宋体" w:cs="宋体"/>
                      <w:color w:val="auto"/>
                      <w:sz w:val="21"/>
                      <w:szCs w:val="21"/>
                      <w:highlight w:val="none"/>
                      <w:u w:val="single"/>
                    </w:rPr>
                  </w:pPr>
                  <w:r>
                    <w:rPr>
                      <w:rFonts w:hint="eastAsia" w:ascii="宋体" w:hAnsi="宋体" w:cs="宋体"/>
                      <w:color w:val="auto"/>
                      <w:sz w:val="21"/>
                      <w:szCs w:val="21"/>
                      <w:highlight w:val="none"/>
                    </w:rPr>
                    <w:t>谈判保证金的金额</w:t>
                  </w:r>
                  <w:r>
                    <w:rPr>
                      <w:rFonts w:hint="eastAsia" w:ascii="宋体" w:hAnsi="宋体" w:cs="宋体"/>
                      <w:color w:val="auto"/>
                      <w:sz w:val="21"/>
                      <w:szCs w:val="21"/>
                      <w:highlight w:val="none"/>
                      <w:u w:val="single"/>
                    </w:rPr>
                    <w:t xml:space="preserve">：人民币（大写）伍仟元整（¥5000.00元）。 </w:t>
                  </w:r>
                </w:p>
                <w:p>
                  <w:pPr>
                    <w:pStyle w:val="20"/>
                    <w:spacing w:line="340" w:lineRule="exact"/>
                    <w:rPr>
                      <w:rFonts w:ascii="宋体" w:hAnsi="宋体" w:cs="宋体"/>
                      <w:color w:val="auto"/>
                      <w:sz w:val="21"/>
                      <w:szCs w:val="21"/>
                      <w:highlight w:val="none"/>
                    </w:rPr>
                  </w:pPr>
                  <w:r>
                    <w:rPr>
                      <w:rFonts w:hint="eastAsia" w:ascii="宋体" w:hAnsi="宋体" w:cs="宋体"/>
                      <w:color w:val="auto"/>
                      <w:sz w:val="21"/>
                      <w:szCs w:val="21"/>
                      <w:highlight w:val="none"/>
                    </w:rPr>
                    <w:t>竞标人应在响应文件文件截止时间前按照竞争性谈判文件要求将谈判保证金汇至以下指定账户。</w:t>
                  </w:r>
                </w:p>
                <w:p>
                  <w:pPr>
                    <w:spacing w:line="440" w:lineRule="exact"/>
                    <w:rPr>
                      <w:rFonts w:ascii="宋体" w:hAnsi="宋体" w:cs="宋体"/>
                      <w:color w:val="auto"/>
                      <w:szCs w:val="21"/>
                      <w:highlight w:val="none"/>
                    </w:rPr>
                  </w:pPr>
                  <w:bookmarkStart w:id="48" w:name="_Hlk351024257"/>
                  <w:r>
                    <w:rPr>
                      <w:rFonts w:hint="eastAsia" w:ascii="宋体" w:hAnsi="宋体" w:cs="宋体"/>
                      <w:color w:val="auto"/>
                      <w:szCs w:val="21"/>
                      <w:highlight w:val="none"/>
                    </w:rPr>
                    <w:t>开户名称：广西祥立工程咨询有限责任公司</w:t>
                  </w:r>
                </w:p>
                <w:p>
                  <w:pPr>
                    <w:pStyle w:val="8"/>
                    <w:spacing w:line="440" w:lineRule="exact"/>
                    <w:ind w:firstLine="0"/>
                    <w:rPr>
                      <w:rFonts w:ascii="宋体" w:hAnsi="宋体" w:cs="宋体"/>
                      <w:color w:val="auto"/>
                      <w:sz w:val="21"/>
                      <w:szCs w:val="21"/>
                      <w:highlight w:val="none"/>
                    </w:rPr>
                  </w:pPr>
                  <w:r>
                    <w:rPr>
                      <w:rFonts w:hint="eastAsia" w:ascii="宋体" w:hAnsi="宋体" w:cs="宋体"/>
                      <w:color w:val="auto"/>
                      <w:sz w:val="21"/>
                      <w:szCs w:val="21"/>
                      <w:highlight w:val="none"/>
                    </w:rPr>
                    <w:t xml:space="preserve">开户银行：中国建设银行股份有限公司南宁青山路支行    </w:t>
                  </w:r>
                </w:p>
                <w:p>
                  <w:pPr>
                    <w:spacing w:line="400" w:lineRule="exact"/>
                    <w:rPr>
                      <w:rFonts w:ascii="宋体" w:hAnsi="宋体" w:cs="宋体"/>
                      <w:color w:val="auto"/>
                      <w:szCs w:val="21"/>
                      <w:highlight w:val="none"/>
                    </w:rPr>
                  </w:pPr>
                  <w:r>
                    <w:rPr>
                      <w:rFonts w:hint="eastAsia" w:ascii="宋体" w:hAnsi="宋体" w:cs="宋体"/>
                      <w:color w:val="auto"/>
                      <w:szCs w:val="21"/>
                      <w:highlight w:val="none"/>
                    </w:rPr>
                    <w:t>账   号：</w:t>
                  </w:r>
                  <w:r>
                    <w:rPr>
                      <w:rFonts w:hint="eastAsia" w:ascii="宋体" w:hAnsi="宋体"/>
                      <w:color w:val="auto"/>
                      <w:szCs w:val="21"/>
                      <w:highlight w:val="none"/>
                    </w:rPr>
                    <w:t>4500 1604 5560 5070 4136</w:t>
                  </w:r>
                  <w:r>
                    <w:rPr>
                      <w:rFonts w:hint="eastAsia" w:ascii="宋体" w:hAnsi="宋体" w:cs="宋体"/>
                      <w:color w:val="auto"/>
                      <w:szCs w:val="21"/>
                      <w:highlight w:val="none"/>
                    </w:rPr>
                    <w:t xml:space="preserve">  </w:t>
                  </w:r>
                </w:p>
                <w:p>
                  <w:pPr>
                    <w:pStyle w:val="20"/>
                    <w:spacing w:before="48" w:after="48" w:line="300" w:lineRule="auto"/>
                    <w:rPr>
                      <w:rFonts w:ascii="宋体" w:hAnsi="宋体" w:cs="宋体"/>
                      <w:color w:val="auto"/>
                      <w:sz w:val="21"/>
                      <w:szCs w:val="21"/>
                      <w:highlight w:val="none"/>
                    </w:rPr>
                  </w:pPr>
                  <w:r>
                    <w:rPr>
                      <w:rFonts w:hint="eastAsia" w:ascii="宋体" w:hAnsi="宋体" w:cs="宋体"/>
                      <w:color w:val="auto"/>
                      <w:sz w:val="21"/>
                      <w:szCs w:val="21"/>
                      <w:highlight w:val="none"/>
                    </w:rPr>
                    <w:t>备注：</w:t>
                  </w:r>
                </w:p>
                <w:p>
                  <w:pPr>
                    <w:pStyle w:val="20"/>
                    <w:spacing w:before="48" w:after="48" w:line="300" w:lineRule="auto"/>
                    <w:rPr>
                      <w:rFonts w:ascii="宋体" w:hAnsi="宋体" w:cs="宋体"/>
                      <w:bCs/>
                      <w:color w:val="auto"/>
                      <w:sz w:val="21"/>
                      <w:szCs w:val="21"/>
                      <w:highlight w:val="none"/>
                      <w:u w:val="single"/>
                    </w:rPr>
                  </w:pPr>
                  <w:r>
                    <w:rPr>
                      <w:rFonts w:hint="eastAsia" w:ascii="宋体" w:hAnsi="宋体" w:cs="宋体"/>
                      <w:color w:val="auto"/>
                      <w:sz w:val="21"/>
                      <w:szCs w:val="21"/>
                      <w:highlight w:val="none"/>
                    </w:rPr>
                    <w:t>1</w:t>
                  </w:r>
                  <w:r>
                    <w:rPr>
                      <w:rFonts w:hint="eastAsia" w:ascii="宋体" w:hAnsi="宋体" w:cs="宋体"/>
                      <w:bCs/>
                      <w:color w:val="auto"/>
                      <w:sz w:val="21"/>
                      <w:szCs w:val="21"/>
                      <w:highlight w:val="none"/>
                    </w:rPr>
                    <w:t>、汇款付言：</w:t>
                  </w:r>
                  <w:r>
                    <w:rPr>
                      <w:rFonts w:hint="eastAsia" w:ascii="宋体" w:hAnsi="宋体" w:cs="宋体"/>
                      <w:bCs/>
                      <w:caps/>
                      <w:color w:val="auto"/>
                      <w:sz w:val="21"/>
                      <w:szCs w:val="21"/>
                      <w:highlight w:val="none"/>
                      <w:u w:val="single"/>
                    </w:rPr>
                    <w:t>法院移动办公办案终端及基础数据流量租用服务采购项目，项目编号：HCZC2019-J3-50001-GXXL，</w:t>
                  </w:r>
                </w:p>
                <w:p>
                  <w:pPr>
                    <w:pStyle w:val="20"/>
                    <w:spacing w:line="340" w:lineRule="exact"/>
                    <w:rPr>
                      <w:rFonts w:ascii="宋体" w:hAnsi="宋体" w:cs="宋体"/>
                      <w:color w:val="auto"/>
                      <w:sz w:val="21"/>
                      <w:szCs w:val="21"/>
                      <w:highlight w:val="none"/>
                    </w:rPr>
                  </w:pPr>
                  <w:r>
                    <w:rPr>
                      <w:rFonts w:hint="eastAsia" w:ascii="宋体" w:hAnsi="宋体" w:cs="宋体"/>
                      <w:color w:val="auto"/>
                      <w:sz w:val="21"/>
                      <w:szCs w:val="21"/>
                      <w:highlight w:val="none"/>
                    </w:rPr>
                    <w:t>2、竞标人按照以上指定账户缴纳保证金后，应到广西祥立工程咨询有限责任公司换取收据，否则采购人不接受其响应文件文件。</w:t>
                  </w:r>
                </w:p>
                <w:p>
                  <w:pPr>
                    <w:pStyle w:val="20"/>
                    <w:spacing w:line="340" w:lineRule="exact"/>
                    <w:rPr>
                      <w:rFonts w:ascii="宋体" w:hAnsi="宋体" w:cs="宋体"/>
                      <w:color w:val="auto"/>
                      <w:sz w:val="21"/>
                      <w:szCs w:val="21"/>
                      <w:highlight w:val="none"/>
                    </w:rPr>
                  </w:pPr>
                  <w:r>
                    <w:rPr>
                      <w:rFonts w:hint="eastAsia" w:ascii="宋体" w:hAnsi="宋体" w:cs="宋体"/>
                      <w:color w:val="auto"/>
                      <w:sz w:val="21"/>
                      <w:szCs w:val="21"/>
                      <w:highlight w:val="none"/>
                    </w:rPr>
                    <w:t>3、竞标人有下列情形之一的，其谈判保证金不予退还，并按有关规定处理，同时对其不良行为予以记录：</w:t>
                  </w:r>
                  <w:bookmarkEnd w:id="48"/>
                </w:p>
                <w:p>
                  <w:pPr>
                    <w:pStyle w:val="20"/>
                    <w:spacing w:line="340" w:lineRule="exact"/>
                    <w:rPr>
                      <w:rFonts w:ascii="宋体" w:hAnsi="宋体" w:cs="宋体"/>
                      <w:color w:val="auto"/>
                      <w:sz w:val="21"/>
                      <w:szCs w:val="21"/>
                      <w:highlight w:val="none"/>
                    </w:rPr>
                  </w:pPr>
                  <w:r>
                    <w:rPr>
                      <w:rFonts w:hint="eastAsia" w:ascii="宋体" w:hAnsi="宋体" w:cs="宋体"/>
                      <w:color w:val="auto"/>
                      <w:sz w:val="21"/>
                      <w:szCs w:val="21"/>
                      <w:highlight w:val="none"/>
                    </w:rPr>
                    <w:t xml:space="preserve">（1）竞标人缴纳谈判保证金后，无正当理由擅自退出谈判的； </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（2）竞标人在规定的谈判有效期内撤销或修改其响应文件文件；</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竞标人被确定为成交竞标人后无正当理由拒绝接受成交或接受成交后无正当理由在规定时间内不依据竞争性谈判文件、响应文件文件和成交通知书与采购人签订合同或未按竞争性谈判文件规定提交履约担保的；      </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（4）存在弄虚作假、围标串标行为，经查情况属实的； </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（5）谈判保证金不是从竞标人基本账户转出的； </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（6）谈判投标报价高于最高投标限价的； </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（7）竞争性谈判文件规定的其他不予退还的情形； </w:t>
                  </w:r>
                </w:p>
                <w:p>
                  <w:pPr>
                    <w:pStyle w:val="21"/>
                    <w:spacing w:line="312"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（8）存在其他违法违规行为的。</w:t>
                  </w:r>
                </w:p>
                <w:p>
                  <w:pPr>
                    <w:spacing w:line="360" w:lineRule="auto"/>
                    <w:rPr>
                      <w:rFonts w:ascii="宋体" w:hAnsi="宋体" w:cs="宋体"/>
                      <w:bCs/>
                      <w:caps/>
                      <w:color w:val="auto"/>
                      <w:szCs w:val="21"/>
                      <w:highlight w:val="none"/>
                    </w:rPr>
                  </w:pPr>
                  <w:r>
                    <w:rPr>
                      <w:rFonts w:hint="eastAsia" w:ascii="宋体" w:hAnsi="宋体" w:cs="宋体"/>
                      <w:color w:val="auto"/>
                      <w:szCs w:val="21"/>
                      <w:highlight w:val="none"/>
                    </w:rPr>
                    <w:t>4、谈判保证金的退还：</w:t>
                  </w:r>
                  <w:r>
                    <w:rPr>
                      <w:rFonts w:hint="eastAsia" w:ascii="宋体" w:hAnsi="宋体" w:cs="宋体"/>
                      <w:bCs/>
                      <w:caps/>
                      <w:color w:val="auto"/>
                      <w:szCs w:val="21"/>
                      <w:highlight w:val="none"/>
                    </w:rPr>
                    <w:t>未成交竞标人（不包括预成交竞标人）应在公示期满后5个工作日内申请退还其谈判保证金；预成交竞标人（包括成交竞标人）应在采购人与其签订合同且备案后5个工作日内申请退还其谈判保证金。</w:t>
                  </w:r>
                </w:p>
              </w:tc>
            </w:tr>
          </w:tbl>
          <w:p>
            <w:pPr>
              <w:spacing w:line="360" w:lineRule="auto"/>
              <w:ind w:firstLine="390"/>
              <w:rPr>
                <w:rFonts w:ascii="宋体" w:hAnsi="宋体" w:cs="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78"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14</w:t>
            </w:r>
          </w:p>
        </w:tc>
        <w:tc>
          <w:tcPr>
            <w:tcW w:w="1726" w:type="dxa"/>
            <w:vAlign w:val="center"/>
          </w:tcPr>
          <w:p>
            <w:pPr>
              <w:adjustRightInd w:val="0"/>
              <w:snapToGrid w:val="0"/>
              <w:spacing w:line="400" w:lineRule="exact"/>
              <w:ind w:right="-105" w:rightChars="-50" w:firstLine="105" w:firstLineChars="50"/>
              <w:jc w:val="center"/>
              <w:rPr>
                <w:rFonts w:ascii="宋体" w:hAnsi="宋体" w:cs="宋体"/>
                <w:color w:val="auto"/>
                <w:szCs w:val="21"/>
                <w:highlight w:val="none"/>
              </w:rPr>
            </w:pPr>
            <w:r>
              <w:rPr>
                <w:rFonts w:hint="eastAsia" w:ascii="宋体" w:hAnsi="宋体" w:cs="宋体"/>
                <w:color w:val="auto"/>
                <w:szCs w:val="21"/>
                <w:highlight w:val="none"/>
              </w:rPr>
              <w:t>报价有效期</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60日历天（递交响应文件文件截止时间算起）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287"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15</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响应文件文件要求</w:t>
            </w:r>
          </w:p>
        </w:tc>
        <w:tc>
          <w:tcPr>
            <w:tcW w:w="6444" w:type="dxa"/>
            <w:vAlign w:val="center"/>
          </w:tcPr>
          <w:p>
            <w:pPr>
              <w:pStyle w:val="6"/>
              <w:adjustRightInd w:val="0"/>
              <w:snapToGrid w:val="0"/>
              <w:spacing w:line="400" w:lineRule="exact"/>
              <w:rPr>
                <w:rFonts w:ascii="宋体" w:hAnsi="宋体" w:cs="宋体"/>
                <w:color w:val="auto"/>
                <w:sz w:val="21"/>
                <w:szCs w:val="21"/>
                <w:highlight w:val="none"/>
              </w:rPr>
            </w:pPr>
            <w:r>
              <w:rPr>
                <w:rFonts w:hint="eastAsia" w:ascii="宋体" w:hAnsi="宋体" w:cs="宋体"/>
                <w:color w:val="auto"/>
                <w:sz w:val="21"/>
                <w:szCs w:val="21"/>
                <w:highlight w:val="none"/>
              </w:rPr>
              <w:t>1、响应文件文件份数：</w:t>
            </w:r>
            <w:r>
              <w:rPr>
                <w:rFonts w:hint="eastAsia" w:ascii="宋体" w:hAnsi="宋体" w:cs="宋体"/>
                <w:color w:val="auto"/>
                <w:sz w:val="21"/>
                <w:szCs w:val="21"/>
                <w:highlight w:val="none"/>
                <w:u w:val="single"/>
              </w:rPr>
              <w:t>正本一份，副本三份。</w:t>
            </w:r>
          </w:p>
          <w:p>
            <w:pPr>
              <w:pStyle w:val="6"/>
              <w:adjustRightInd w:val="0"/>
              <w:snapToGrid w:val="0"/>
              <w:spacing w:line="400" w:lineRule="exact"/>
              <w:rPr>
                <w:rFonts w:ascii="宋体" w:hAnsi="宋体" w:cs="宋体"/>
                <w:color w:val="auto"/>
                <w:sz w:val="21"/>
                <w:szCs w:val="21"/>
                <w:highlight w:val="none"/>
              </w:rPr>
            </w:pPr>
            <w:r>
              <w:rPr>
                <w:rFonts w:hint="eastAsia" w:ascii="宋体" w:hAnsi="宋体" w:cs="宋体"/>
                <w:color w:val="auto"/>
                <w:sz w:val="21"/>
                <w:szCs w:val="21"/>
                <w:highlight w:val="none"/>
              </w:rPr>
              <w:t>2、响应文件文件应采用不褪色的材料书写或打印或复印。响应文件文件正本除封面、封底、目录、分隔页外，其余每一页均应加盖竞标人单位公章，并由竞标人的</w:t>
            </w:r>
            <w:r>
              <w:rPr>
                <w:rFonts w:hint="eastAsia" w:ascii="宋体" w:hAnsi="宋体" w:cs="宋体"/>
                <w:color w:val="auto"/>
                <w:sz w:val="21"/>
                <w:szCs w:val="21"/>
                <w:highlight w:val="none"/>
                <w:lang w:eastAsia="zh-CN"/>
              </w:rPr>
              <w:t>法定代表人或负责人</w:t>
            </w:r>
            <w:r>
              <w:rPr>
                <w:rFonts w:hint="eastAsia" w:ascii="宋体" w:hAnsi="宋体" w:cs="宋体"/>
                <w:color w:val="auto"/>
                <w:sz w:val="21"/>
                <w:szCs w:val="21"/>
                <w:highlight w:val="none"/>
              </w:rPr>
              <w:t>或其委托代理人签署姓名（不得使用印章、签名章或其他电子制版签名代替），本页正文内容已有竞标人的</w:t>
            </w:r>
            <w:r>
              <w:rPr>
                <w:rFonts w:hint="eastAsia" w:ascii="宋体" w:hAnsi="宋体" w:cs="宋体"/>
                <w:color w:val="auto"/>
                <w:sz w:val="21"/>
                <w:szCs w:val="21"/>
                <w:highlight w:val="none"/>
                <w:lang w:eastAsia="zh-CN"/>
              </w:rPr>
              <w:t>法定代表人或负责人</w:t>
            </w:r>
            <w:r>
              <w:rPr>
                <w:rFonts w:hint="eastAsia" w:ascii="宋体" w:hAnsi="宋体" w:cs="宋体"/>
                <w:color w:val="auto"/>
                <w:sz w:val="21"/>
                <w:szCs w:val="21"/>
                <w:highlight w:val="none"/>
              </w:rPr>
              <w:t>或其委托代理人签署姓名或加盖单位章的可不再签署姓名、盖章；响应文件文件副本除封面外，其余可以为正本复印件，可以在正本签字盖章后复印装订。响应文件文件应尽量避免涂改、行间插字或删除。如果出现上述情况，修改之处应加盖竞标人单位公章或由竞标人的</w:t>
            </w:r>
            <w:r>
              <w:rPr>
                <w:rFonts w:hint="eastAsia" w:ascii="宋体" w:hAnsi="宋体" w:cs="宋体"/>
                <w:color w:val="auto"/>
                <w:sz w:val="21"/>
                <w:szCs w:val="21"/>
                <w:highlight w:val="none"/>
                <w:lang w:eastAsia="zh-CN"/>
              </w:rPr>
              <w:t>法定代表人或负责人</w:t>
            </w:r>
            <w:r>
              <w:rPr>
                <w:rFonts w:hint="eastAsia" w:ascii="宋体" w:hAnsi="宋体" w:cs="宋体"/>
                <w:color w:val="auto"/>
                <w:sz w:val="21"/>
                <w:szCs w:val="21"/>
                <w:highlight w:val="none"/>
              </w:rPr>
              <w:t>或其委托代理人签字确认。</w:t>
            </w:r>
          </w:p>
          <w:p>
            <w:pPr>
              <w:pStyle w:val="6"/>
              <w:adjustRightInd w:val="0"/>
              <w:snapToGrid w:val="0"/>
              <w:spacing w:line="400" w:lineRule="exact"/>
              <w:rPr>
                <w:rFonts w:ascii="宋体" w:hAnsi="宋体" w:cs="宋体"/>
                <w:color w:val="auto"/>
                <w:sz w:val="21"/>
                <w:szCs w:val="21"/>
                <w:highlight w:val="none"/>
              </w:rPr>
            </w:pPr>
            <w:r>
              <w:rPr>
                <w:rFonts w:hint="eastAsia" w:ascii="宋体" w:hAnsi="宋体" w:cs="宋体"/>
                <w:color w:val="auto"/>
                <w:sz w:val="21"/>
                <w:szCs w:val="21"/>
                <w:highlight w:val="none"/>
              </w:rPr>
              <w:t>3、密封与标记要求：竞标人应将响应文件文件正本与副本应分开包装，封皮上应写明：</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采购人：</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项目名称：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请勿在 </w:t>
            </w:r>
            <w:r>
              <w:rPr>
                <w:rFonts w:hint="eastAsia" w:ascii="宋体" w:hAnsi="宋体" w:cs="宋体"/>
                <w:color w:val="auto"/>
                <w:szCs w:val="21"/>
                <w:highlight w:val="none"/>
                <w:u w:val="single"/>
              </w:rPr>
              <w:t xml:space="preserve"> 2019年8月2</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日</w:t>
            </w:r>
            <w:r>
              <w:rPr>
                <w:rFonts w:hint="eastAsia" w:ascii="宋体" w:hAnsi="宋体" w:cs="宋体"/>
                <w:color w:val="auto"/>
                <w:szCs w:val="21"/>
                <w:highlight w:val="none"/>
                <w:u w:val="single"/>
                <w:lang w:val="en-US" w:eastAsia="zh-CN"/>
              </w:rPr>
              <w:t>9</w:t>
            </w:r>
            <w:r>
              <w:rPr>
                <w:rFonts w:hint="eastAsia" w:ascii="宋体" w:hAnsi="宋体" w:cs="宋体"/>
                <w:color w:val="auto"/>
                <w:szCs w:val="21"/>
                <w:highlight w:val="none"/>
                <w:u w:val="single"/>
              </w:rPr>
              <w:t>时</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0分 </w:t>
            </w:r>
            <w:r>
              <w:rPr>
                <w:rFonts w:hint="eastAsia" w:ascii="宋体" w:hAnsi="宋体" w:cs="宋体"/>
                <w:color w:val="auto"/>
                <w:szCs w:val="21"/>
                <w:highlight w:val="none"/>
              </w:rPr>
              <w:t>之前启封</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竞标人：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（加盖单位章）</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16</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递交响应文件文件截止时间</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olor w:val="auto"/>
                <w:szCs w:val="21"/>
                <w:highlight w:val="none"/>
              </w:rPr>
              <w:t>2019年8月2</w:t>
            </w:r>
            <w:r>
              <w:rPr>
                <w:rFonts w:hint="eastAsia" w:ascii="宋体" w:hAnsi="宋体"/>
                <w:color w:val="auto"/>
                <w:szCs w:val="21"/>
                <w:highlight w:val="none"/>
                <w:lang w:val="en-US" w:eastAsia="zh-CN"/>
              </w:rPr>
              <w:t>3</w:t>
            </w:r>
            <w:r>
              <w:rPr>
                <w:rFonts w:hint="eastAsia" w:ascii="宋体" w:hAnsi="宋体"/>
                <w:color w:val="auto"/>
                <w:szCs w:val="21"/>
                <w:highlight w:val="none"/>
              </w:rPr>
              <w:t>日</w:t>
            </w:r>
            <w:r>
              <w:rPr>
                <w:rFonts w:hint="eastAsia" w:ascii="宋体" w:hAnsi="宋体"/>
                <w:color w:val="auto"/>
                <w:szCs w:val="21"/>
                <w:highlight w:val="none"/>
                <w:lang w:val="en-US" w:eastAsia="zh-CN"/>
              </w:rPr>
              <w:t>9</w:t>
            </w:r>
            <w:r>
              <w:rPr>
                <w:rFonts w:hint="eastAsia" w:ascii="宋体" w:hAnsi="宋体"/>
                <w:color w:val="auto"/>
                <w:szCs w:val="21"/>
                <w:highlight w:val="none"/>
              </w:rPr>
              <w:t>时</w:t>
            </w:r>
            <w:r>
              <w:rPr>
                <w:rFonts w:hint="eastAsia" w:ascii="宋体" w:hAnsi="宋体"/>
                <w:color w:val="auto"/>
                <w:szCs w:val="21"/>
                <w:highlight w:val="none"/>
                <w:lang w:val="en-US" w:eastAsia="zh-CN"/>
              </w:rPr>
              <w:t>3</w:t>
            </w:r>
            <w:r>
              <w:rPr>
                <w:rFonts w:hint="eastAsia" w:ascii="宋体" w:hAnsi="宋体"/>
                <w:color w:val="auto"/>
                <w:szCs w:val="21"/>
                <w:highlight w:val="none"/>
              </w:rPr>
              <w:t>0分</w:t>
            </w:r>
            <w:r>
              <w:rPr>
                <w:rFonts w:hint="eastAsia" w:ascii="宋体" w:hAnsi="宋体" w:cs="宋体"/>
                <w:color w:val="auto"/>
                <w:szCs w:val="21"/>
                <w:highlight w:val="none"/>
              </w:rPr>
              <w:t>（北京时间）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17</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递交响应文件文件地点</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s="宋体"/>
                <w:bCs/>
                <w:color w:val="auto"/>
                <w:szCs w:val="21"/>
                <w:highlight w:val="none"/>
              </w:rPr>
              <w:t>广西祥立工程咨询有限责任公司河池分公司开标室（河池市金城江区幸福湾2栋1单元1603号）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18</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响应文件文件开启时间</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olor w:val="auto"/>
                <w:szCs w:val="21"/>
                <w:highlight w:val="none"/>
              </w:rPr>
              <w:t>2019年8月2</w:t>
            </w:r>
            <w:r>
              <w:rPr>
                <w:rFonts w:hint="eastAsia" w:ascii="宋体" w:hAnsi="宋体"/>
                <w:color w:val="auto"/>
                <w:szCs w:val="21"/>
                <w:highlight w:val="none"/>
                <w:lang w:val="en-US" w:eastAsia="zh-CN"/>
              </w:rPr>
              <w:t>3</w:t>
            </w:r>
            <w:r>
              <w:rPr>
                <w:rFonts w:hint="eastAsia" w:ascii="宋体" w:hAnsi="宋体"/>
                <w:color w:val="auto"/>
                <w:szCs w:val="21"/>
                <w:highlight w:val="none"/>
              </w:rPr>
              <w:t>日</w:t>
            </w:r>
            <w:r>
              <w:rPr>
                <w:rFonts w:hint="eastAsia" w:ascii="宋体" w:hAnsi="宋体"/>
                <w:color w:val="auto"/>
                <w:szCs w:val="21"/>
                <w:highlight w:val="none"/>
                <w:lang w:val="en-US" w:eastAsia="zh-CN"/>
              </w:rPr>
              <w:t>9</w:t>
            </w:r>
            <w:r>
              <w:rPr>
                <w:rFonts w:hint="eastAsia" w:ascii="宋体" w:hAnsi="宋体"/>
                <w:color w:val="auto"/>
                <w:szCs w:val="21"/>
                <w:highlight w:val="none"/>
              </w:rPr>
              <w:t>时</w:t>
            </w:r>
            <w:r>
              <w:rPr>
                <w:rFonts w:hint="eastAsia" w:ascii="宋体" w:hAnsi="宋体"/>
                <w:color w:val="auto"/>
                <w:szCs w:val="21"/>
                <w:highlight w:val="none"/>
                <w:lang w:val="en-US" w:eastAsia="zh-CN"/>
              </w:rPr>
              <w:t>3</w:t>
            </w:r>
            <w:r>
              <w:rPr>
                <w:rFonts w:hint="eastAsia" w:ascii="宋体" w:hAnsi="宋体"/>
                <w:color w:val="auto"/>
                <w:szCs w:val="21"/>
                <w:highlight w:val="none"/>
              </w:rPr>
              <w:t>0分</w:t>
            </w:r>
            <w:r>
              <w:rPr>
                <w:rFonts w:hint="eastAsia" w:ascii="宋体" w:hAnsi="宋体" w:cs="宋体"/>
                <w:color w:val="auto"/>
                <w:szCs w:val="21"/>
                <w:highlight w:val="none"/>
              </w:rPr>
              <w:t>(北京时间）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19</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响应文件文件开启地点</w:t>
            </w:r>
          </w:p>
        </w:tc>
        <w:tc>
          <w:tcPr>
            <w:tcW w:w="6444" w:type="dxa"/>
            <w:vAlign w:val="center"/>
          </w:tcPr>
          <w:p>
            <w:pPr>
              <w:adjustRightInd w:val="0"/>
              <w:snapToGrid w:val="0"/>
              <w:spacing w:line="400" w:lineRule="exact"/>
              <w:rPr>
                <w:rFonts w:ascii="宋体" w:hAnsi="宋体" w:cs="宋体"/>
                <w:color w:val="auto"/>
                <w:szCs w:val="21"/>
                <w:highlight w:val="none"/>
                <w:shd w:val="pct10" w:color="auto" w:fill="FFFFFF"/>
              </w:rPr>
            </w:pPr>
            <w:r>
              <w:rPr>
                <w:rFonts w:hint="eastAsia" w:ascii="宋体" w:hAnsi="宋体" w:cs="宋体"/>
                <w:bCs/>
                <w:color w:val="auto"/>
                <w:szCs w:val="21"/>
                <w:highlight w:val="none"/>
              </w:rPr>
              <w:t>广西祥立工程咨询有限责任公司开标室（河池市金城江区幸福湾2栋1单元1603号）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932"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20</w:t>
            </w:r>
          </w:p>
        </w:tc>
        <w:tc>
          <w:tcPr>
            <w:tcW w:w="1726" w:type="dxa"/>
            <w:vAlign w:val="center"/>
          </w:tcPr>
          <w:p>
            <w:pPr>
              <w:adjustRightInd w:val="0"/>
              <w:snapToGrid w:val="0"/>
              <w:spacing w:line="400" w:lineRule="exact"/>
              <w:ind w:right="-105" w:rightChars="-50"/>
              <w:jc w:val="center"/>
              <w:rPr>
                <w:rFonts w:ascii="宋体" w:hAnsi="宋体" w:cs="宋体"/>
                <w:color w:val="auto"/>
                <w:szCs w:val="21"/>
                <w:highlight w:val="none"/>
              </w:rPr>
            </w:pPr>
            <w:r>
              <w:rPr>
                <w:rFonts w:hint="eastAsia" w:ascii="宋体" w:hAnsi="宋体" w:cs="宋体"/>
                <w:color w:val="auto"/>
                <w:szCs w:val="21"/>
                <w:highlight w:val="none"/>
              </w:rPr>
              <w:t>响应文件文件开启顺序</w:t>
            </w:r>
          </w:p>
        </w:tc>
        <w:tc>
          <w:tcPr>
            <w:tcW w:w="6444" w:type="dxa"/>
            <w:vAlign w:val="center"/>
          </w:tcPr>
          <w:p>
            <w:pPr>
              <w:adjustRightInd w:val="0"/>
              <w:snapToGrid w:val="0"/>
              <w:spacing w:line="400" w:lineRule="exact"/>
              <w:rPr>
                <w:rFonts w:ascii="宋体" w:hAnsi="宋体" w:cs="宋体"/>
                <w:color w:val="auto"/>
                <w:szCs w:val="21"/>
                <w:highlight w:val="none"/>
              </w:rPr>
            </w:pPr>
            <w:r>
              <w:rPr>
                <w:rFonts w:hint="eastAsia" w:ascii="宋体" w:hAnsi="宋体" w:cs="宋体"/>
                <w:color w:val="auto"/>
                <w:szCs w:val="21"/>
                <w:highlight w:val="none"/>
              </w:rPr>
              <w:t>按竞标人递交响应文件文件时签到顺序。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318"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21</w:t>
            </w:r>
          </w:p>
        </w:tc>
        <w:tc>
          <w:tcPr>
            <w:tcW w:w="1726" w:type="dxa"/>
            <w:tcBorders>
              <w:righ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响应文件文件技术要求</w:t>
            </w:r>
          </w:p>
        </w:tc>
        <w:tc>
          <w:tcPr>
            <w:tcW w:w="6444" w:type="dxa"/>
            <w:tcBorders>
              <w:left w:val="single" w:color="auto" w:sz="4" w:space="0"/>
            </w:tcBorders>
            <w:vAlign w:val="center"/>
          </w:tcPr>
          <w:p>
            <w:pPr>
              <w:snapToGrid w:val="0"/>
              <w:spacing w:line="300" w:lineRule="auto"/>
              <w:rPr>
                <w:rFonts w:ascii="宋体" w:hAnsi="宋体" w:cs="宋体"/>
                <w:color w:val="auto"/>
                <w:szCs w:val="21"/>
                <w:highlight w:val="none"/>
              </w:rPr>
            </w:pPr>
            <w:r>
              <w:rPr>
                <w:rFonts w:hint="eastAsia" w:ascii="宋体" w:hAnsi="宋体" w:cs="宋体"/>
                <w:color w:val="auto"/>
                <w:szCs w:val="21"/>
                <w:highlight w:val="none"/>
              </w:rPr>
              <w:t>竞标人应在响应文件文件中应提供保证项目工作质量及项目进度和工期的技术措施和组织措施、对采购人的工作建议等内容的技术文件，且该技术文件应能满足本项目实施需要。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22</w:t>
            </w:r>
          </w:p>
        </w:tc>
        <w:tc>
          <w:tcPr>
            <w:tcW w:w="1726" w:type="dxa"/>
            <w:tcBorders>
              <w:right w:val="single" w:color="auto" w:sz="4" w:space="0"/>
            </w:tcBorders>
            <w:vAlign w:val="center"/>
          </w:tcPr>
          <w:p>
            <w:pPr>
              <w:adjustRightInd w:val="0"/>
              <w:snapToGrid w:val="0"/>
              <w:spacing w:line="400" w:lineRule="exact"/>
              <w:jc w:val="left"/>
              <w:rPr>
                <w:rFonts w:ascii="宋体" w:hAnsi="宋体" w:cs="宋体"/>
                <w:bCs/>
                <w:color w:val="auto"/>
                <w:szCs w:val="21"/>
                <w:highlight w:val="none"/>
              </w:rPr>
            </w:pPr>
            <w:r>
              <w:rPr>
                <w:rFonts w:hint="eastAsia" w:ascii="宋体" w:hAnsi="宋体" w:cs="宋体"/>
                <w:bCs/>
                <w:color w:val="auto"/>
                <w:szCs w:val="21"/>
                <w:highlight w:val="none"/>
              </w:rPr>
              <w:t>竞标人资格审查</w:t>
            </w:r>
          </w:p>
        </w:tc>
        <w:tc>
          <w:tcPr>
            <w:tcW w:w="6444" w:type="dxa"/>
            <w:tcBorders>
              <w:left w:val="single" w:color="auto" w:sz="4" w:space="0"/>
            </w:tcBorders>
            <w:vAlign w:val="center"/>
          </w:tcPr>
          <w:p>
            <w:pPr>
              <w:adjustRightInd w:val="0"/>
              <w:snapToGrid w:val="0"/>
              <w:spacing w:line="400" w:lineRule="exact"/>
              <w:rPr>
                <w:rFonts w:ascii="宋体" w:hAnsi="宋体" w:cs="宋体"/>
                <w:bCs/>
                <w:color w:val="auto"/>
                <w:szCs w:val="21"/>
                <w:highlight w:val="none"/>
              </w:rPr>
            </w:pPr>
            <w:r>
              <w:rPr>
                <w:rFonts w:hint="eastAsia" w:ascii="宋体" w:hAnsi="宋体" w:cs="宋体"/>
                <w:bCs/>
                <w:color w:val="auto"/>
                <w:szCs w:val="21"/>
                <w:highlight w:val="none"/>
              </w:rPr>
              <w:t>见按竞标人须知第8.1.1条款资格审查部分内容审查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23</w:t>
            </w:r>
          </w:p>
        </w:tc>
        <w:tc>
          <w:tcPr>
            <w:tcW w:w="1726" w:type="dxa"/>
            <w:tcBorders>
              <w:right w:val="single" w:color="auto" w:sz="4" w:space="0"/>
            </w:tcBorders>
            <w:vAlign w:val="center"/>
          </w:tcPr>
          <w:p>
            <w:pPr>
              <w:adjustRightInd w:val="0"/>
              <w:snapToGrid w:val="0"/>
              <w:spacing w:line="400" w:lineRule="exact"/>
              <w:jc w:val="center"/>
              <w:rPr>
                <w:rFonts w:ascii="宋体" w:hAnsi="宋体" w:cs="宋体"/>
                <w:bCs/>
                <w:color w:val="auto"/>
                <w:szCs w:val="21"/>
                <w:highlight w:val="none"/>
              </w:rPr>
            </w:pPr>
            <w:r>
              <w:rPr>
                <w:rFonts w:hint="eastAsia" w:ascii="宋体" w:hAnsi="宋体" w:cs="宋体"/>
                <w:bCs/>
                <w:color w:val="auto"/>
                <w:szCs w:val="21"/>
                <w:highlight w:val="none"/>
              </w:rPr>
              <w:t>成交公示</w:t>
            </w:r>
          </w:p>
        </w:tc>
        <w:tc>
          <w:tcPr>
            <w:tcW w:w="6444" w:type="dxa"/>
            <w:tcBorders>
              <w:left w:val="single" w:color="auto" w:sz="4" w:space="0"/>
            </w:tcBorders>
            <w:vAlign w:val="center"/>
          </w:tcPr>
          <w:p>
            <w:pPr>
              <w:pStyle w:val="8"/>
              <w:spacing w:line="440" w:lineRule="exact"/>
              <w:ind w:firstLine="0"/>
              <w:rPr>
                <w:rFonts w:ascii="宋体" w:hAnsi="宋体" w:cs="宋体"/>
                <w:color w:val="auto"/>
                <w:sz w:val="21"/>
                <w:szCs w:val="21"/>
                <w:highlight w:val="none"/>
              </w:rPr>
            </w:pPr>
            <w:r>
              <w:rPr>
                <w:rFonts w:hint="eastAsia" w:ascii="宋体" w:hAnsi="宋体" w:cs="宋体"/>
                <w:color w:val="auto"/>
                <w:sz w:val="21"/>
                <w:szCs w:val="21"/>
                <w:highlight w:val="none"/>
              </w:rPr>
              <w:t>1、采购人根据谈判小组推荐的预成交竞标人确定成交竞标人，并在</w:t>
            </w:r>
            <w:r>
              <w:rPr>
                <w:rFonts w:ascii="宋体" w:hAnsi="宋体" w:cs="宋体"/>
                <w:color w:val="auto"/>
                <w:sz w:val="21"/>
                <w:szCs w:val="21"/>
                <w:highlight w:val="none"/>
              </w:rPr>
              <w:fldChar w:fldCharType="begin"/>
            </w:r>
            <w:r>
              <w:rPr>
                <w:rFonts w:ascii="宋体" w:hAnsi="宋体" w:cs="宋体"/>
                <w:color w:val="auto"/>
                <w:sz w:val="21"/>
                <w:szCs w:val="21"/>
                <w:highlight w:val="none"/>
              </w:rPr>
              <w:instrText xml:space="preserve">HYPERLINK "http://www.ccgp.gov.cn（中国政府采购网）、www.gxzfcg.gov.cn"</w:instrText>
            </w:r>
            <w:r>
              <w:rPr>
                <w:rFonts w:ascii="宋体" w:hAnsi="宋体" w:cs="宋体"/>
                <w:color w:val="auto"/>
                <w:sz w:val="21"/>
                <w:szCs w:val="21"/>
                <w:highlight w:val="none"/>
              </w:rPr>
              <w:fldChar w:fldCharType="separate"/>
            </w:r>
            <w:r>
              <w:rPr>
                <w:rStyle w:val="17"/>
                <w:rFonts w:hint="eastAsia" w:ascii="宋体" w:hAnsi="宋体" w:cs="宋体"/>
                <w:color w:val="auto"/>
                <w:sz w:val="21"/>
                <w:szCs w:val="21"/>
                <w:highlight w:val="none"/>
              </w:rPr>
              <w:t xml:space="preserve">中国政府采购网（http://www.ccgp.gov.cn）、广西壮族自治区政府采购网( </w:t>
            </w:r>
            <w:r>
              <w:rPr>
                <w:rStyle w:val="17"/>
                <w:rFonts w:hint="eastAsia" w:ascii="宋体" w:hAnsi="宋体" w:cs="宋体"/>
                <w:color w:val="auto"/>
                <w:sz w:val="21"/>
                <w:szCs w:val="21"/>
                <w:highlight w:val="none"/>
                <w:lang w:eastAsia="zh-CN"/>
              </w:rPr>
              <w:t>http://zfcg.gxzf.gov.cn</w:t>
            </w:r>
            <w:r>
              <w:rPr>
                <w:rStyle w:val="17"/>
                <w:rFonts w:hint="eastAsia" w:ascii="宋体" w:hAnsi="宋体" w:cs="宋体"/>
                <w:color w:val="auto"/>
                <w:sz w:val="21"/>
                <w:szCs w:val="21"/>
                <w:highlight w:val="none"/>
              </w:rPr>
              <w:t>)、广西祥立工程咨询有限责任公司网(http://www.gxxiangli.cn)</w:t>
            </w:r>
            <w:r>
              <w:rPr>
                <w:rFonts w:ascii="宋体" w:hAnsi="宋体" w:cs="宋体"/>
                <w:color w:val="auto"/>
                <w:sz w:val="21"/>
                <w:szCs w:val="21"/>
                <w:highlight w:val="none"/>
              </w:rPr>
              <w:fldChar w:fldCharType="end"/>
            </w:r>
            <w:r>
              <w:rPr>
                <w:rFonts w:hint="eastAsia"/>
                <w:color w:val="auto"/>
                <w:sz w:val="21"/>
                <w:szCs w:val="24"/>
                <w:highlight w:val="none"/>
              </w:rPr>
              <w:t xml:space="preserve"> </w:t>
            </w:r>
            <w:r>
              <w:rPr>
                <w:rFonts w:hint="eastAsia" w:ascii="宋体" w:hAnsi="宋体" w:cs="宋体"/>
                <w:color w:val="auto"/>
                <w:sz w:val="21"/>
                <w:szCs w:val="21"/>
                <w:highlight w:val="none"/>
              </w:rPr>
              <w:t>网上发布，不再另行通知未成交的竞标人，公示时间为7日。</w:t>
            </w:r>
          </w:p>
          <w:p>
            <w:pPr>
              <w:adjustRightInd w:val="0"/>
              <w:snapToGrid w:val="0"/>
              <w:spacing w:beforeLines="50" w:line="400" w:lineRule="exact"/>
              <w:rPr>
                <w:rFonts w:ascii="宋体" w:hAnsi="宋体" w:cs="宋体"/>
                <w:bCs/>
                <w:color w:val="auto"/>
                <w:szCs w:val="21"/>
                <w:highlight w:val="none"/>
              </w:rPr>
            </w:pPr>
            <w:r>
              <w:rPr>
                <w:rFonts w:hint="eastAsia" w:ascii="宋体" w:hAnsi="宋体" w:cs="宋体"/>
                <w:color w:val="auto"/>
                <w:szCs w:val="21"/>
                <w:highlight w:val="none"/>
              </w:rPr>
              <w:t>2、谈判结束后，采购人若组织对预成交竞标人的响应文件文件中载明的有关资质、合同业绩进行核实，预成交竞标人应予以配合，如不配合或发现预成交竞标人有弄虚作假行为的取消其预成交竞标人资格。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257"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24</w:t>
            </w:r>
          </w:p>
        </w:tc>
        <w:tc>
          <w:tcPr>
            <w:tcW w:w="1726" w:type="dxa"/>
            <w:tcBorders>
              <w:right w:val="single" w:color="auto" w:sz="4" w:space="0"/>
            </w:tcBorders>
            <w:vAlign w:val="center"/>
          </w:tcPr>
          <w:p>
            <w:pPr>
              <w:adjustRightInd w:val="0"/>
              <w:snapToGrid w:val="0"/>
              <w:spacing w:line="400" w:lineRule="exact"/>
              <w:jc w:val="center"/>
              <w:rPr>
                <w:rFonts w:ascii="宋体" w:hAnsi="宋体" w:cs="宋体"/>
                <w:bCs/>
                <w:color w:val="auto"/>
                <w:szCs w:val="21"/>
                <w:highlight w:val="none"/>
              </w:rPr>
            </w:pPr>
            <w:r>
              <w:rPr>
                <w:rFonts w:hint="eastAsia" w:ascii="宋体" w:hAnsi="宋体" w:cs="宋体"/>
                <w:bCs/>
                <w:color w:val="auto"/>
                <w:szCs w:val="21"/>
                <w:highlight w:val="none"/>
              </w:rPr>
              <w:t>成交竞标人支付代理服务费</w:t>
            </w:r>
          </w:p>
        </w:tc>
        <w:tc>
          <w:tcPr>
            <w:tcW w:w="6444" w:type="dxa"/>
            <w:tcBorders>
              <w:left w:val="single" w:color="auto" w:sz="4" w:space="0"/>
            </w:tcBorders>
            <w:vAlign w:val="center"/>
          </w:tcPr>
          <w:p>
            <w:pPr>
              <w:rPr>
                <w:rFonts w:ascii="宋体" w:hAnsi="宋体" w:cs="宋体"/>
                <w:color w:val="auto"/>
                <w:kern w:val="0"/>
                <w:szCs w:val="21"/>
                <w:highlight w:val="none"/>
              </w:rPr>
            </w:pPr>
            <w:r>
              <w:rPr>
                <w:rFonts w:hint="eastAsia" w:ascii="宋体" w:hAnsi="宋体" w:cs="宋体"/>
                <w:color w:val="auto"/>
                <w:szCs w:val="21"/>
                <w:highlight w:val="none"/>
              </w:rPr>
              <w:t>采购代理服务费：参考桂价费〔2011〕55号文件标准收取，参照服务类计算方式，</w:t>
            </w:r>
            <w:r>
              <w:rPr>
                <w:rFonts w:hint="eastAsia" w:ascii="宋体" w:hAnsi="宋体"/>
                <w:color w:val="auto"/>
                <w:szCs w:val="21"/>
                <w:highlight w:val="none"/>
              </w:rPr>
              <w:t>由成交人在领取成交通知前向采购代理机构一次性支付。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93"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25</w:t>
            </w:r>
          </w:p>
        </w:tc>
        <w:tc>
          <w:tcPr>
            <w:tcW w:w="1726" w:type="dxa"/>
            <w:tcBorders>
              <w:right w:val="single" w:color="auto" w:sz="4" w:space="0"/>
            </w:tcBorders>
            <w:vAlign w:val="center"/>
          </w:tcPr>
          <w:p>
            <w:pPr>
              <w:adjustRightInd w:val="0"/>
              <w:snapToGrid w:val="0"/>
              <w:spacing w:line="400" w:lineRule="exact"/>
              <w:jc w:val="center"/>
              <w:rPr>
                <w:rFonts w:ascii="宋体" w:hAnsi="宋体" w:cs="宋体"/>
                <w:bCs/>
                <w:color w:val="auto"/>
                <w:szCs w:val="21"/>
                <w:highlight w:val="none"/>
              </w:rPr>
            </w:pPr>
            <w:r>
              <w:rPr>
                <w:rFonts w:hint="eastAsia" w:ascii="宋体" w:hAnsi="宋体" w:cs="宋体"/>
                <w:bCs/>
                <w:color w:val="auto"/>
                <w:szCs w:val="21"/>
                <w:highlight w:val="none"/>
              </w:rPr>
              <w:t>分包</w:t>
            </w:r>
          </w:p>
        </w:tc>
        <w:tc>
          <w:tcPr>
            <w:tcW w:w="6444" w:type="dxa"/>
            <w:tcBorders>
              <w:left w:val="single" w:color="auto" w:sz="4" w:space="0"/>
            </w:tcBorders>
            <w:vAlign w:val="center"/>
          </w:tcPr>
          <w:p>
            <w:pPr>
              <w:adjustRightInd w:val="0"/>
              <w:snapToGrid w:val="0"/>
              <w:spacing w:beforeLines="50" w:line="400" w:lineRule="exact"/>
              <w:jc w:val="left"/>
              <w:rPr>
                <w:rFonts w:ascii="宋体" w:hAnsi="宋体" w:cs="宋体"/>
                <w:color w:val="auto"/>
                <w:szCs w:val="21"/>
                <w:highlight w:val="none"/>
              </w:rPr>
            </w:pPr>
            <w:r>
              <w:rPr>
                <w:rFonts w:hint="eastAsia" w:ascii="宋体" w:hAnsi="宋体" w:cs="宋体"/>
                <w:color w:val="auto"/>
                <w:szCs w:val="21"/>
                <w:highlight w:val="none"/>
              </w:rPr>
              <w:t>不允许分包。</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767" w:hRule="atLeast"/>
          <w:jc w:val="center"/>
        </w:trPr>
        <w:tc>
          <w:tcPr>
            <w:tcW w:w="744" w:type="dxa"/>
            <w:vAlign w:val="center"/>
          </w:tcPr>
          <w:p>
            <w:pPr>
              <w:adjustRightInd w:val="0"/>
              <w:snapToGrid w:val="0"/>
              <w:spacing w:line="400" w:lineRule="exact"/>
              <w:jc w:val="center"/>
              <w:rPr>
                <w:rFonts w:ascii="宋体" w:hAnsi="宋体" w:cs="宋体"/>
                <w:color w:val="auto"/>
                <w:szCs w:val="21"/>
                <w:highlight w:val="none"/>
              </w:rPr>
            </w:pPr>
            <w:r>
              <w:rPr>
                <w:rFonts w:hint="eastAsia" w:ascii="宋体" w:hAnsi="宋体" w:cs="宋体"/>
                <w:color w:val="auto"/>
                <w:szCs w:val="21"/>
                <w:highlight w:val="none"/>
              </w:rPr>
              <w:t>26</w:t>
            </w:r>
          </w:p>
        </w:tc>
        <w:tc>
          <w:tcPr>
            <w:tcW w:w="1726" w:type="dxa"/>
            <w:tcBorders>
              <w:right w:val="single" w:color="auto" w:sz="4" w:space="0"/>
            </w:tcBorders>
            <w:vAlign w:val="center"/>
          </w:tcPr>
          <w:p>
            <w:pPr>
              <w:adjustRightInd w:val="0"/>
              <w:snapToGrid w:val="0"/>
              <w:spacing w:line="400" w:lineRule="exact"/>
              <w:jc w:val="center"/>
              <w:rPr>
                <w:rFonts w:ascii="宋体" w:hAnsi="宋体" w:cs="宋体"/>
                <w:bCs/>
                <w:color w:val="auto"/>
                <w:szCs w:val="21"/>
                <w:highlight w:val="none"/>
              </w:rPr>
            </w:pPr>
            <w:r>
              <w:rPr>
                <w:rFonts w:hint="eastAsia" w:ascii="宋体" w:hAnsi="宋体" w:cs="宋体"/>
                <w:bCs/>
                <w:color w:val="auto"/>
                <w:szCs w:val="21"/>
                <w:highlight w:val="none"/>
              </w:rPr>
              <w:t>成交通知书</w:t>
            </w:r>
          </w:p>
        </w:tc>
        <w:tc>
          <w:tcPr>
            <w:tcW w:w="6444" w:type="dxa"/>
            <w:tcBorders>
              <w:left w:val="single" w:color="auto" w:sz="4" w:space="0"/>
            </w:tcBorders>
            <w:vAlign w:val="center"/>
          </w:tcPr>
          <w:p>
            <w:pPr>
              <w:snapToGrid w:val="0"/>
              <w:spacing w:line="300" w:lineRule="auto"/>
              <w:ind w:firstLine="105" w:firstLineChars="50"/>
              <w:rPr>
                <w:rFonts w:ascii="宋体" w:hAnsi="宋体" w:cs="宋体"/>
                <w:color w:val="auto"/>
                <w:szCs w:val="21"/>
                <w:highlight w:val="none"/>
              </w:rPr>
            </w:pPr>
            <w:r>
              <w:rPr>
                <w:rFonts w:hint="eastAsia" w:ascii="宋体" w:hAnsi="宋体" w:cs="宋体"/>
                <w:color w:val="auto"/>
                <w:szCs w:val="21"/>
                <w:highlight w:val="none"/>
              </w:rPr>
              <w:t>1、成交竞标人应在公示期满后10日内，由投标人携带身份证、代理服务费缴费单（验原件，留复印件）到广西祥立工程咨询有限责任公司领取成交通知书。</w:t>
            </w:r>
          </w:p>
          <w:p>
            <w:pPr>
              <w:adjustRightInd w:val="0"/>
              <w:snapToGrid w:val="0"/>
              <w:spacing w:line="400" w:lineRule="exact"/>
              <w:ind w:firstLine="105" w:firstLineChars="50"/>
              <w:rPr>
                <w:rFonts w:ascii="宋体" w:hAnsi="宋体" w:cs="宋体"/>
                <w:color w:val="auto"/>
                <w:szCs w:val="21"/>
                <w:highlight w:val="none"/>
              </w:rPr>
            </w:pPr>
            <w:r>
              <w:rPr>
                <w:rFonts w:hint="eastAsia" w:ascii="宋体" w:hAnsi="宋体" w:cs="宋体"/>
                <w:color w:val="auto"/>
                <w:szCs w:val="21"/>
                <w:highlight w:val="none"/>
              </w:rPr>
              <w:t>2、公示期满后，未发现预成交竞标人在谈判活动中有违约行为的，广西祥立工程咨询有限责任公司将向其发出成交通知书，否则采购人有权取消其成交资格。</w:t>
            </w:r>
          </w:p>
        </w:tc>
      </w:tr>
    </w:tbl>
    <w:p>
      <w:pPr>
        <w:rPr>
          <w:b/>
          <w:bCs/>
          <w:color w:val="auto"/>
          <w:sz w:val="28"/>
          <w:szCs w:val="28"/>
          <w:highlight w:val="none"/>
        </w:rPr>
      </w:pPr>
      <w:bookmarkStart w:id="49" w:name="_Toc185702548"/>
      <w:bookmarkStart w:id="50" w:name="_Toc231115907"/>
      <w:bookmarkStart w:id="51" w:name="_Toc200268238"/>
      <w:bookmarkStart w:id="52" w:name="_Toc231115976"/>
      <w:bookmarkStart w:id="53" w:name="_Toc267603558"/>
      <w:bookmarkStart w:id="54" w:name="_Toc299457077"/>
      <w:bookmarkStart w:id="55" w:name="_Toc371605768"/>
    </w:p>
    <w:p>
      <w:pPr>
        <w:pStyle w:val="2"/>
        <w:rPr>
          <w:b/>
          <w:bCs/>
          <w:color w:val="auto"/>
          <w:sz w:val="28"/>
          <w:szCs w:val="28"/>
          <w:highlight w:val="none"/>
        </w:rPr>
      </w:pPr>
    </w:p>
    <w:p>
      <w:pPr>
        <w:pStyle w:val="2"/>
        <w:rPr>
          <w:b/>
          <w:bCs/>
          <w:color w:val="auto"/>
          <w:sz w:val="28"/>
          <w:szCs w:val="28"/>
          <w:highlight w:val="none"/>
        </w:rPr>
      </w:pPr>
    </w:p>
    <w:p>
      <w:pPr>
        <w:pStyle w:val="2"/>
        <w:rPr>
          <w:b/>
          <w:bCs/>
          <w:color w:val="auto"/>
          <w:sz w:val="28"/>
          <w:szCs w:val="28"/>
          <w:highlight w:val="none"/>
        </w:rPr>
      </w:pPr>
    </w:p>
    <w:p>
      <w:pPr>
        <w:pStyle w:val="2"/>
        <w:rPr>
          <w:b/>
          <w:bCs/>
          <w:color w:val="auto"/>
          <w:sz w:val="28"/>
          <w:szCs w:val="28"/>
          <w:highlight w:val="none"/>
        </w:rPr>
      </w:pPr>
    </w:p>
    <w:p>
      <w:pPr>
        <w:pStyle w:val="2"/>
        <w:rPr>
          <w:b/>
          <w:bCs/>
          <w:color w:val="auto"/>
          <w:sz w:val="28"/>
          <w:szCs w:val="28"/>
          <w:highlight w:val="none"/>
        </w:rPr>
      </w:pPr>
    </w:p>
    <w:p>
      <w:pPr>
        <w:pStyle w:val="2"/>
        <w:rPr>
          <w:b/>
          <w:bCs/>
          <w:color w:val="auto"/>
          <w:sz w:val="28"/>
          <w:szCs w:val="28"/>
          <w:highlight w:val="none"/>
        </w:rPr>
      </w:pPr>
    </w:p>
    <w:bookmarkEnd w:id="49"/>
    <w:bookmarkEnd w:id="50"/>
    <w:bookmarkEnd w:id="51"/>
    <w:bookmarkEnd w:id="52"/>
    <w:bookmarkEnd w:id="53"/>
    <w:bookmarkEnd w:id="54"/>
    <w:bookmarkEnd w:id="55"/>
    <w:p>
      <w:pPr>
        <w:spacing w:line="400" w:lineRule="exact"/>
        <w:rPr>
          <w:b/>
          <w:bCs/>
          <w:color w:val="auto"/>
          <w:sz w:val="28"/>
          <w:szCs w:val="28"/>
          <w:highlight w:val="none"/>
        </w:rPr>
      </w:pPr>
      <w:bookmarkStart w:id="56" w:name="_Toc185702552"/>
      <w:bookmarkStart w:id="57" w:name="_Toc200268242"/>
      <w:bookmarkStart w:id="58" w:name="_Toc267603562"/>
      <w:bookmarkStart w:id="59" w:name="_Toc231115911"/>
      <w:bookmarkStart w:id="60" w:name="_Toc231115980"/>
      <w:bookmarkStart w:id="61" w:name="_Toc299457081"/>
      <w:bookmarkStart w:id="62" w:name="_Toc371605772"/>
    </w:p>
    <w:p>
      <w:pPr>
        <w:spacing w:line="400" w:lineRule="exact"/>
        <w:jc w:val="center"/>
        <w:rPr>
          <w:b/>
          <w:bCs/>
          <w:color w:val="auto"/>
          <w:sz w:val="28"/>
          <w:szCs w:val="28"/>
          <w:highlight w:val="none"/>
        </w:rPr>
      </w:pPr>
      <w:r>
        <w:rPr>
          <w:b/>
          <w:bCs/>
          <w:color w:val="auto"/>
          <w:sz w:val="28"/>
          <w:szCs w:val="28"/>
          <w:highlight w:val="none"/>
        </w:rPr>
        <w:t>谈判须知</w:t>
      </w:r>
    </w:p>
    <w:p>
      <w:pPr>
        <w:spacing w:line="400" w:lineRule="exact"/>
        <w:rPr>
          <w:rFonts w:ascii="宋体" w:hAnsi="宋体" w:cs="宋体"/>
          <w:b/>
          <w:bCs/>
          <w:color w:val="auto"/>
          <w:szCs w:val="21"/>
          <w:highlight w:val="none"/>
        </w:rPr>
      </w:pPr>
      <w:r>
        <w:rPr>
          <w:rFonts w:hint="eastAsia" w:ascii="宋体" w:hAnsi="宋体" w:cs="宋体"/>
          <w:b/>
          <w:bCs/>
          <w:color w:val="auto"/>
          <w:szCs w:val="21"/>
          <w:highlight w:val="none"/>
        </w:rPr>
        <w:t>一、</w:t>
      </w:r>
      <w:bookmarkEnd w:id="56"/>
      <w:bookmarkEnd w:id="57"/>
      <w:bookmarkEnd w:id="58"/>
      <w:bookmarkEnd w:id="59"/>
      <w:bookmarkEnd w:id="60"/>
      <w:bookmarkEnd w:id="61"/>
      <w:bookmarkEnd w:id="62"/>
      <w:bookmarkStart w:id="63" w:name="_Toc196295894"/>
      <w:bookmarkStart w:id="64" w:name="_Toc78294034"/>
      <w:bookmarkStart w:id="65" w:name="_Toc85085497"/>
      <w:bookmarkStart w:id="66" w:name="_Toc78294035"/>
      <w:bookmarkStart w:id="67" w:name="_Toc208066872"/>
      <w:bookmarkStart w:id="68" w:name="_Toc85085498"/>
      <w:r>
        <w:rPr>
          <w:rFonts w:hint="eastAsia" w:ascii="宋体" w:hAnsi="宋体" w:cs="宋体"/>
          <w:b/>
          <w:bCs/>
          <w:color w:val="auto"/>
          <w:szCs w:val="21"/>
          <w:highlight w:val="none"/>
        </w:rPr>
        <w:t>总则</w:t>
      </w:r>
    </w:p>
    <w:p>
      <w:pPr>
        <w:spacing w:line="400" w:lineRule="exact"/>
        <w:rPr>
          <w:rFonts w:ascii="宋体" w:hAnsi="宋体" w:cs="宋体"/>
          <w:color w:val="auto"/>
          <w:szCs w:val="21"/>
          <w:highlight w:val="none"/>
        </w:rPr>
      </w:pPr>
      <w:r>
        <w:rPr>
          <w:rFonts w:ascii="宋体" w:hAnsi="宋体" w:cs="宋体"/>
          <w:color w:val="auto"/>
          <w:szCs w:val="21"/>
          <w:highlight w:val="none"/>
        </w:rPr>
        <w:t>1. 适用范围</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1.1 本文件仅适用于本文件中所叙述的货物、服务类政府采购项目。</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 定义</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2.1“采购人”是指：东兰县人民法院。</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2.2“采购代理机构”是指：广西祥立工程咨询有限责任公司。</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2.3“谈判供应商”是指响应本文件要求，参加谈判的法人或者其他组织。如果该供应商在本次谈判中成交，即成为“成交供应商”。</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2.4“货物”是指各种形态和种类的物品，包括原材料、燃料、设备、产品等。</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2.5“服务”是指除货物和工程以外的其他政府采购对象。</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2.6“竞争性谈判响应文件”是指：供应商根据本文件要求，编制包含报价、技术和服务等所有内容的文件。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3. 谈判供应商的基本条件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3.</w:t>
      </w:r>
      <w:r>
        <w:rPr>
          <w:rFonts w:hint="eastAsia" w:hAnsi="宋体" w:cs="宋体"/>
          <w:color w:val="auto"/>
          <w:szCs w:val="21"/>
          <w:highlight w:val="none"/>
        </w:rPr>
        <w:t>1</w:t>
      </w:r>
      <w:r>
        <w:rPr>
          <w:rFonts w:hAnsi="宋体" w:cs="宋体"/>
          <w:color w:val="auto"/>
          <w:szCs w:val="21"/>
          <w:highlight w:val="none"/>
        </w:rPr>
        <w:t>符合《中华人民共和国政府采购法》第二十二条规定的条件，国内注册（指按国家有关规定要求注册的）生产或经营本次采购货物的法人企业</w:t>
      </w:r>
      <w:r>
        <w:rPr>
          <w:rFonts w:hint="eastAsia" w:hAnsi="宋体" w:cs="宋体"/>
          <w:szCs w:val="21"/>
          <w:highlight w:val="none"/>
        </w:rPr>
        <w:t>或</w:t>
      </w:r>
      <w:r>
        <w:rPr>
          <w:rFonts w:hint="eastAsia" w:hAnsi="宋体"/>
          <w:szCs w:val="21"/>
          <w:highlight w:val="none"/>
        </w:rPr>
        <w:t>其下属分支机构负责人资格</w:t>
      </w:r>
      <w:r>
        <w:rPr>
          <w:rFonts w:hAnsi="宋体" w:cs="宋体"/>
          <w:color w:val="auto"/>
          <w:szCs w:val="21"/>
          <w:highlight w:val="none"/>
        </w:rPr>
        <w:t>。</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3.2对在</w:t>
      </w:r>
      <w:r>
        <w:rPr>
          <w:rFonts w:hAnsi="宋体" w:cs="宋体"/>
          <w:color w:val="auto"/>
          <w:szCs w:val="21"/>
          <w:highlight w:val="none"/>
        </w:rPr>
        <w:t>“</w:t>
      </w:r>
      <w:r>
        <w:rPr>
          <w:rFonts w:hint="eastAsia" w:hAnsi="宋体" w:cs="宋体"/>
          <w:color w:val="auto"/>
          <w:szCs w:val="21"/>
          <w:highlight w:val="none"/>
        </w:rPr>
        <w:t>信用中国</w:t>
      </w:r>
      <w:r>
        <w:rPr>
          <w:rFonts w:hAnsi="宋体" w:cs="宋体"/>
          <w:color w:val="auto"/>
          <w:szCs w:val="21"/>
          <w:highlight w:val="none"/>
        </w:rPr>
        <w:t>”</w:t>
      </w:r>
      <w:r>
        <w:rPr>
          <w:rFonts w:hint="eastAsia" w:hAnsi="宋体" w:cs="宋体"/>
          <w:color w:val="auto"/>
          <w:szCs w:val="21"/>
          <w:highlight w:val="none"/>
        </w:rPr>
        <w:t>网站(www.creditchina.gov.cn)、中国政府采购网(www.ccgp.gov.cn)等渠道列入失信被执行人、重大税收违法案件当事人名单、政府采购严重违法失信行为记录名单的供应商，不得参与政府采购活动。</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3.3本项目不接受联合体竞标。</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3.4本项目不接受未购买本招标文件的供应商参与竞标。</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4. 谈判费用</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4.1 谈判供应商应自行承担所有与编写和提交竞争性谈判响应文件有关的费用，不论谈判结果如何，采购人和广西祥立工程咨询有限责任公司在任何情况下无义务和责任承担此类费用。</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4.2谈判文件的澄清和修改：</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4.2.1谈判供应商应认真审核《</w:t>
      </w:r>
      <w:r>
        <w:rPr>
          <w:rFonts w:hint="eastAsia" w:hAnsi="宋体" w:cs="宋体"/>
          <w:color w:val="auto"/>
          <w:szCs w:val="21"/>
          <w:highlight w:val="none"/>
          <w:lang w:eastAsia="zh-CN"/>
        </w:rPr>
        <w:t>谈判采购技术规格、参数及要求</w:t>
      </w:r>
      <w:r>
        <w:rPr>
          <w:rFonts w:hint="eastAsia" w:hAnsi="宋体" w:cs="宋体"/>
          <w:color w:val="auto"/>
          <w:szCs w:val="21"/>
          <w:highlight w:val="none"/>
        </w:rPr>
        <w:t>》中的技术参数、配置及要求，如发现表中技术参数、配置有误或要求不合理的，谈判供应商必须在规定的时间前要求澄清，否则，由此产生的后果由谈判供应商负责。</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4.2.2任何要求澄清谈判文件的谈判供应商，均应在相应文件递交截止日期三日前的正常工作时间以传真等书面形式通知本公司，同时认定其他澄清方式为无效。本公司将以书面形式予以答复。</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4.2.3本公司对已发出的谈判文件进行必要澄清或者修改的，在竞争性谈判文件要求提交竞争性谈判响应文件截止时间三个工作日前（不足三个工作日顺延），在中国政府采购网（www.ccgp.gov.cn ）、广西壮族自治区政府采购网(</w:t>
      </w:r>
      <w:r>
        <w:rPr>
          <w:rFonts w:hint="eastAsia" w:hAnsi="宋体" w:cs="宋体"/>
          <w:color w:val="auto"/>
          <w:szCs w:val="21"/>
          <w:highlight w:val="none"/>
          <w:lang w:eastAsia="zh-CN"/>
        </w:rPr>
        <w:t>http://zfcg.gxzf.gov.cn</w:t>
      </w:r>
      <w:r>
        <w:rPr>
          <w:rFonts w:hint="eastAsia" w:hAnsi="宋体" w:cs="宋体"/>
          <w:color w:val="auto"/>
          <w:szCs w:val="21"/>
          <w:highlight w:val="none"/>
        </w:rPr>
        <w:t>)</w:t>
      </w:r>
      <w:r>
        <w:rPr>
          <w:rFonts w:hAnsi="宋体" w:cs="宋体"/>
          <w:color w:val="auto"/>
          <w:szCs w:val="21"/>
          <w:highlight w:val="none"/>
        </w:rPr>
        <w:t xml:space="preserve"> </w:t>
      </w:r>
      <w:r>
        <w:rPr>
          <w:rFonts w:hint="eastAsia" w:hAnsi="宋体" w:cs="宋体"/>
          <w:color w:val="auto"/>
          <w:szCs w:val="21"/>
          <w:highlight w:val="none"/>
        </w:rPr>
        <w:t>及广西祥立工程咨询有限责任公司网(http://www.gxxiangli.cn)上发布更正公告，并以书面形式通知所有谈判文件收受人。该澄清或者修改的内容为谈判文件的组成部分。</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4.2.4采购代理机构可视具体情况，延长竞标截止时间和开标时间。本公司至少在谈判文件要求提交响应文件的截止时间一日前，将变更时间书面通知所有谈判文件收受人，并在中国政府采购网（www.ccgp.gov.cn ）、广西壮族自治区政府采购网(</w:t>
      </w:r>
      <w:r>
        <w:rPr>
          <w:rFonts w:hint="eastAsia" w:hAnsi="宋体" w:cs="宋体"/>
          <w:color w:val="auto"/>
          <w:szCs w:val="21"/>
          <w:highlight w:val="none"/>
          <w:lang w:eastAsia="zh-CN"/>
        </w:rPr>
        <w:t>http://zfcg.gxzf.gov.cn</w:t>
      </w:r>
      <w:r>
        <w:rPr>
          <w:rFonts w:hint="eastAsia" w:hAnsi="宋体" w:cs="宋体"/>
          <w:color w:val="auto"/>
          <w:szCs w:val="21"/>
          <w:highlight w:val="none"/>
        </w:rPr>
        <w:t>)及广西祥立工程咨询有限责任公司网(http://www.gxxiangli.cn)上发布变更公告。</w:t>
      </w:r>
    </w:p>
    <w:p>
      <w:pPr>
        <w:pStyle w:val="9"/>
        <w:adjustRightInd w:val="0"/>
        <w:snapToGrid w:val="0"/>
        <w:spacing w:line="440" w:lineRule="exact"/>
        <w:rPr>
          <w:rFonts w:hAnsi="宋体" w:cs="宋体"/>
          <w:b/>
          <w:bCs/>
          <w:color w:val="auto"/>
          <w:szCs w:val="21"/>
          <w:highlight w:val="none"/>
        </w:rPr>
      </w:pPr>
      <w:r>
        <w:rPr>
          <w:rFonts w:hAnsi="宋体" w:cs="宋体"/>
          <w:b/>
          <w:bCs/>
          <w:color w:val="auto"/>
          <w:szCs w:val="21"/>
          <w:highlight w:val="none"/>
        </w:rPr>
        <w:t>二、竞争性谈判响应文件的编制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 竞争性谈判响应文件编制基本要求</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5.1谈判供应商对竞争性谈判响应文件的编制应按要求装订和封装。</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5.2谈判供应商提交的竞争性谈判响应文件以及谈判供应商与广西祥立工程咨询有限责任公司和采购人就有关谈判的所有来往函电均应使用中文。谈判供应商提交的支持文件和印刷的文献可以使用别的语言，但其相应内容必须附有中文翻译文本，在解释竞争性谈判响应文件时以翻译文本为主。</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5.3谈判供应商应认真阅读、并充分理解本文件的全部内容（包括所有的补充、修改内容），承诺并履行本文件中各项条款规定及要求。</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5.4竞争性谈判响应文件必须按本文件的全部内容，包括所有的补充通知及附件进行编制。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5.5如因谈判供应商只填写和提供了本文件要求的部分内容和附件，而给评审造成困难，其可能导致的结果和责任由谈判供应商自行承担。</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5.6竞争性谈判响应文件的组成竞争性谈判响应文件应分为价格文件和商务技术文件两个部分组成</w:t>
      </w:r>
      <w:r>
        <w:rPr>
          <w:rFonts w:hint="eastAsia" w:hAnsi="宋体" w:cs="宋体"/>
          <w:color w:val="auto"/>
          <w:szCs w:val="21"/>
          <w:highlight w:val="none"/>
        </w:rPr>
        <w:t>，合并装订成一份文件。（竞标文件每册</w:t>
      </w:r>
      <w:r>
        <w:rPr>
          <w:rFonts w:hint="eastAsia" w:hAnsi="宋体" w:cs="宋体"/>
          <w:color w:val="auto"/>
          <w:szCs w:val="21"/>
          <w:highlight w:val="none"/>
          <w:lang w:eastAsia="zh-CN"/>
        </w:rPr>
        <w:t>按</w:t>
      </w:r>
      <w:r>
        <w:rPr>
          <w:rFonts w:hint="eastAsia" w:hAnsi="宋体" w:cs="宋体"/>
          <w:color w:val="auto"/>
          <w:szCs w:val="21"/>
          <w:highlight w:val="none"/>
        </w:rPr>
        <w:t>要求顺序自编目录及页码装订成册，竞标文件装订位置必须封边，竞标文件须加盖骑缝章，装订应牢固、不易拆散和换页，不得采用活页装订</w:t>
      </w:r>
      <w:r>
        <w:rPr>
          <w:rFonts w:hint="eastAsia" w:hAnsi="宋体" w:cs="宋体"/>
          <w:color w:val="auto"/>
          <w:szCs w:val="21"/>
          <w:highlight w:val="none"/>
          <w:lang w:eastAsia="zh-CN"/>
        </w:rPr>
        <w:t>，不允许使用活页夹、拉杆夹、夹条等可能导致竞标文件散落或脱页的装订方式，否则将视为无效竞标文件</w:t>
      </w:r>
      <w:r>
        <w:rPr>
          <w:rFonts w:hint="eastAsia" w:hAnsi="宋体" w:cs="宋体"/>
          <w:color w:val="auto"/>
          <w:szCs w:val="21"/>
          <w:highlight w:val="none"/>
        </w:rPr>
        <w:t>）：</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5.6.1价格文件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1）谈判报价表；（附件二）（必须提供，否则竞标无效，不能进入下一阶段谈判）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5.6.2 商务技术文件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w:t>
      </w:r>
      <w:r>
        <w:rPr>
          <w:rFonts w:hint="eastAsia" w:hAnsi="宋体" w:cs="宋体"/>
          <w:color w:val="auto"/>
          <w:szCs w:val="21"/>
          <w:highlight w:val="none"/>
        </w:rPr>
        <w:t>竞标保证金缴纳证明</w:t>
      </w:r>
      <w:r>
        <w:rPr>
          <w:rFonts w:hAnsi="宋体" w:cs="宋体"/>
          <w:color w:val="auto"/>
          <w:szCs w:val="21"/>
          <w:highlight w:val="none"/>
        </w:rPr>
        <w:t>（必须提供，否则竞标无效，不能进入下一阶段谈判）；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2）谈判书；（附件一）（必须提供，否则竞标无效，不能进入下一阶段谈判）；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3）技术偏离、商务响应情况说明表；（附件三）（必须提供，否则竞标无效，不能进入下一阶段谈判）；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4）</w:t>
      </w:r>
      <w:r>
        <w:rPr>
          <w:rFonts w:hint="eastAsia" w:hAnsi="宋体" w:cs="宋体"/>
          <w:color w:val="auto"/>
          <w:szCs w:val="21"/>
          <w:highlight w:val="none"/>
        </w:rPr>
        <w:t>营业执照副本复印件(如未办理“三证合一”的还需提供组织机构代码证复印件及税务登记证复印件)</w:t>
      </w:r>
      <w:r>
        <w:rPr>
          <w:rFonts w:hAnsi="宋体" w:cs="宋体"/>
          <w:color w:val="auto"/>
          <w:szCs w:val="21"/>
          <w:highlight w:val="none"/>
        </w:rPr>
        <w:t>（必须提供，否则竞标无效，不能进入下一阶段谈判）；</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5</w:t>
      </w:r>
      <w:r>
        <w:rPr>
          <w:rFonts w:hAnsi="宋体" w:cs="宋体"/>
          <w:color w:val="auto"/>
          <w:szCs w:val="21"/>
          <w:highlight w:val="none"/>
        </w:rPr>
        <w:t>）有效的</w:t>
      </w:r>
      <w:r>
        <w:rPr>
          <w:rFonts w:hint="eastAsia" w:hAnsi="宋体" w:cs="宋体"/>
          <w:color w:val="auto"/>
          <w:szCs w:val="21"/>
          <w:highlight w:val="none"/>
          <w:lang w:eastAsia="zh-CN"/>
        </w:rPr>
        <w:t>法定代表人或负责人</w:t>
      </w:r>
      <w:r>
        <w:rPr>
          <w:rFonts w:hAnsi="宋体" w:cs="宋体"/>
          <w:color w:val="auto"/>
          <w:szCs w:val="21"/>
          <w:highlight w:val="none"/>
        </w:rPr>
        <w:t>身份证复印件（必须提供，否则竞标无效，不能进入下一阶段谈判）；</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6</w:t>
      </w:r>
      <w:r>
        <w:rPr>
          <w:rFonts w:hAnsi="宋体" w:cs="宋体"/>
          <w:color w:val="auto"/>
          <w:szCs w:val="21"/>
          <w:highlight w:val="none"/>
        </w:rPr>
        <w:t>）有效的</w:t>
      </w:r>
      <w:r>
        <w:rPr>
          <w:rFonts w:hint="eastAsia" w:hAnsi="宋体" w:cs="宋体"/>
          <w:color w:val="auto"/>
          <w:szCs w:val="21"/>
          <w:highlight w:val="none"/>
          <w:lang w:eastAsia="zh-CN"/>
        </w:rPr>
        <w:t>法定代表人或负责人</w:t>
      </w:r>
      <w:r>
        <w:rPr>
          <w:rFonts w:hAnsi="宋体" w:cs="宋体"/>
          <w:color w:val="auto"/>
          <w:szCs w:val="21"/>
          <w:highlight w:val="none"/>
        </w:rPr>
        <w:t>授权书原件和有效的委托代理人身份证复印件（附件四）（委托代理时必须提供，否则竞标无效，不能进入下一阶段谈判）；</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7</w:t>
      </w:r>
      <w:r>
        <w:rPr>
          <w:rFonts w:hAnsi="宋体" w:cs="宋体"/>
          <w:color w:val="auto"/>
          <w:szCs w:val="21"/>
          <w:highlight w:val="none"/>
        </w:rPr>
        <w:t>）</w:t>
      </w:r>
      <w:r>
        <w:rPr>
          <w:rFonts w:hint="eastAsia" w:hAnsi="宋体" w:cs="宋体"/>
          <w:color w:val="auto"/>
          <w:szCs w:val="21"/>
          <w:highlight w:val="none"/>
        </w:rPr>
        <w:t>竞标保证金银行转账或电汇底单复印件(加盖公章)</w:t>
      </w:r>
      <w:r>
        <w:rPr>
          <w:rFonts w:hint="eastAsia" w:hAnsi="宋体" w:cs="宋体"/>
          <w:color w:val="auto"/>
          <w:szCs w:val="21"/>
          <w:highlight w:val="none"/>
          <w:lang w:eastAsia="zh-CN"/>
        </w:rPr>
        <w:t>、到账证明</w:t>
      </w:r>
      <w:r>
        <w:rPr>
          <w:rFonts w:hint="eastAsia" w:ascii="宋体" w:hAnsi="宋体" w:cs="宋体"/>
          <w:color w:val="auto"/>
          <w:sz w:val="21"/>
          <w:szCs w:val="21"/>
          <w:highlight w:val="none"/>
        </w:rPr>
        <w:t>收据</w:t>
      </w:r>
      <w:r>
        <w:rPr>
          <w:rFonts w:hint="eastAsia" w:hAnsi="宋体" w:cs="宋体"/>
          <w:color w:val="auto"/>
          <w:sz w:val="21"/>
          <w:szCs w:val="21"/>
          <w:highlight w:val="none"/>
          <w:lang w:eastAsia="zh-CN"/>
        </w:rPr>
        <w:t>和</w:t>
      </w:r>
      <w:r>
        <w:rPr>
          <w:rFonts w:hAnsi="宋体" w:cs="宋体"/>
          <w:color w:val="auto"/>
          <w:szCs w:val="21"/>
          <w:highlight w:val="none"/>
        </w:rPr>
        <w:t>有效的开户许可证复印件（必须提供，否则竞标无效，不能进入下一阶段谈判）；</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8</w:t>
      </w:r>
      <w:r>
        <w:rPr>
          <w:rFonts w:hAnsi="宋体" w:cs="宋体"/>
          <w:color w:val="auto"/>
          <w:szCs w:val="21"/>
          <w:highlight w:val="none"/>
        </w:rPr>
        <w:t>）近三年无重大违法、违规行为的声明书（格式自拟，必须提供，否则竞标无效，不能进入下一阶段谈判）；</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9</w:t>
      </w:r>
      <w:r>
        <w:rPr>
          <w:rFonts w:hAnsi="宋体" w:cs="宋体"/>
          <w:color w:val="auto"/>
          <w:szCs w:val="21"/>
          <w:highlight w:val="none"/>
        </w:rPr>
        <w:t>）</w:t>
      </w:r>
      <w:r>
        <w:rPr>
          <w:rFonts w:hint="eastAsia" w:hAnsi="宋体" w:cs="宋体"/>
          <w:color w:val="auto"/>
          <w:szCs w:val="21"/>
          <w:highlight w:val="none"/>
        </w:rPr>
        <w:t>竞标前半年内连续三个月</w:t>
      </w:r>
      <w:r>
        <w:rPr>
          <w:rFonts w:hAnsi="宋体" w:cs="宋体"/>
          <w:color w:val="auto"/>
          <w:szCs w:val="21"/>
          <w:highlight w:val="none"/>
        </w:rPr>
        <w:t>依法缴纳税收证明〔连续缴纳税费凭证复印件，或者依法连续缴纳税费或依法免缴税费的证明（复印件，</w:t>
      </w:r>
      <w:r>
        <w:rPr>
          <w:rFonts w:hint="eastAsia" w:hAnsi="宋体" w:cs="宋体"/>
          <w:color w:val="auto"/>
          <w:szCs w:val="21"/>
          <w:highlight w:val="none"/>
          <w:lang w:eastAsia="zh-CN"/>
        </w:rPr>
        <w:t>半</w:t>
      </w:r>
      <w:r>
        <w:rPr>
          <w:rFonts w:hAnsi="宋体" w:cs="宋体"/>
          <w:color w:val="auto"/>
          <w:szCs w:val="21"/>
          <w:highlight w:val="none"/>
        </w:rPr>
        <w:t>年内有效，格式可自拟），无税额月份应提供零申报证明，无纳税记录的，应提供由</w:t>
      </w:r>
      <w:r>
        <w:rPr>
          <w:rFonts w:hint="eastAsia" w:hAnsi="宋体" w:cs="宋体"/>
          <w:color w:val="auto"/>
          <w:szCs w:val="21"/>
          <w:highlight w:val="none"/>
        </w:rPr>
        <w:t>竞</w:t>
      </w:r>
      <w:r>
        <w:rPr>
          <w:rFonts w:hAnsi="宋体" w:cs="宋体"/>
          <w:color w:val="auto"/>
          <w:szCs w:val="21"/>
          <w:highlight w:val="none"/>
        </w:rPr>
        <w:t>标人所在地主管国税、地税部门出具的《依法纳税或依法免税证明》〕（必须提供，否则竞标无效）；</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10</w:t>
      </w:r>
      <w:r>
        <w:rPr>
          <w:rFonts w:hAnsi="宋体" w:cs="宋体"/>
          <w:color w:val="auto"/>
          <w:szCs w:val="21"/>
          <w:highlight w:val="none"/>
        </w:rPr>
        <w:t>）</w:t>
      </w:r>
      <w:r>
        <w:rPr>
          <w:rFonts w:hint="eastAsia" w:hAnsi="宋体" w:cs="宋体"/>
          <w:color w:val="auto"/>
          <w:szCs w:val="21"/>
          <w:highlight w:val="none"/>
        </w:rPr>
        <w:t>竞标前半年内连续三个月</w:t>
      </w:r>
      <w:r>
        <w:rPr>
          <w:rFonts w:hAnsi="宋体" w:cs="宋体"/>
          <w:color w:val="auto"/>
          <w:szCs w:val="21"/>
          <w:highlight w:val="none"/>
        </w:rPr>
        <w:t>依法缴纳社保证明（社保证明可以是经社保部门盖章确认的相关材料，也可以是银行交纳凭证等有效证明，要求提供复印件；无缴费记录的，应提供社保部门或事业单位上级主管部门出具的《依法缴纳或依法免缴社保费证明》）（必须提供，否则竞标无效）；</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11</w:t>
      </w:r>
      <w:r>
        <w:rPr>
          <w:rFonts w:hAnsi="宋体" w:cs="宋体"/>
          <w:color w:val="auto"/>
          <w:szCs w:val="21"/>
          <w:highlight w:val="none"/>
        </w:rPr>
        <w:t>）提供货物第三方检测报告</w:t>
      </w:r>
      <w:r>
        <w:rPr>
          <w:rFonts w:hint="eastAsia" w:hAnsi="宋体" w:cs="宋体"/>
          <w:color w:val="auto"/>
          <w:szCs w:val="21"/>
          <w:highlight w:val="none"/>
        </w:rPr>
        <w:t>，</w:t>
      </w:r>
      <w:r>
        <w:rPr>
          <w:rFonts w:hAnsi="宋体" w:cs="宋体"/>
          <w:color w:val="auto"/>
          <w:szCs w:val="21"/>
          <w:highlight w:val="none"/>
        </w:rPr>
        <w:t>检测报告应由</w:t>
      </w:r>
      <w:r>
        <w:rPr>
          <w:rFonts w:hint="eastAsia" w:hAnsi="宋体" w:cs="宋体"/>
          <w:color w:val="auto"/>
          <w:szCs w:val="21"/>
          <w:highlight w:val="none"/>
        </w:rPr>
        <w:t>有国家认证的检测机构出具</w:t>
      </w:r>
      <w:r>
        <w:rPr>
          <w:rFonts w:hAnsi="宋体" w:cs="宋体"/>
          <w:color w:val="auto"/>
          <w:szCs w:val="21"/>
          <w:highlight w:val="none"/>
        </w:rPr>
        <w:t>；</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12</w:t>
      </w:r>
      <w:r>
        <w:rPr>
          <w:rFonts w:hAnsi="宋体" w:cs="宋体"/>
          <w:color w:val="auto"/>
          <w:szCs w:val="21"/>
          <w:highlight w:val="none"/>
        </w:rPr>
        <w:t>）货物名称、型号、规格、数量、性能等情况；</w:t>
      </w:r>
      <w:r>
        <w:rPr>
          <w:rFonts w:hAnsi="宋体" w:cs="宋体"/>
          <w:color w:val="auto"/>
          <w:szCs w:val="21"/>
          <w:highlight w:val="none"/>
        </w:rPr>
        <w:tab/>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13</w:t>
      </w:r>
      <w:r>
        <w:rPr>
          <w:rFonts w:hAnsi="宋体" w:cs="宋体"/>
          <w:color w:val="auto"/>
          <w:szCs w:val="21"/>
          <w:highlight w:val="none"/>
        </w:rPr>
        <w:t>）货物制造、检验、验收执行的标准；</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14</w:t>
      </w:r>
      <w:r>
        <w:rPr>
          <w:rFonts w:hAnsi="宋体" w:cs="宋体"/>
          <w:color w:val="auto"/>
          <w:szCs w:val="21"/>
          <w:highlight w:val="none"/>
        </w:rPr>
        <w:t>）质量保证措施；</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15</w:t>
      </w:r>
      <w:r>
        <w:rPr>
          <w:rFonts w:hAnsi="宋体" w:cs="宋体"/>
          <w:color w:val="auto"/>
          <w:szCs w:val="21"/>
          <w:highlight w:val="none"/>
        </w:rPr>
        <w:t>）使用保养说明书、图纸等技术资料；</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16</w:t>
      </w:r>
      <w:r>
        <w:rPr>
          <w:rFonts w:hAnsi="宋体" w:cs="宋体"/>
          <w:color w:val="auto"/>
          <w:szCs w:val="21"/>
          <w:highlight w:val="none"/>
        </w:rPr>
        <w:t>）</w:t>
      </w:r>
      <w:r>
        <w:rPr>
          <w:rFonts w:hint="eastAsia" w:hAnsi="宋体" w:cs="宋体"/>
          <w:color w:val="auto"/>
          <w:szCs w:val="21"/>
          <w:highlight w:val="none"/>
        </w:rPr>
        <w:t>提供的切实可行的售后服务方案和优惠承诺</w:t>
      </w:r>
      <w:r>
        <w:rPr>
          <w:rFonts w:hAnsi="宋体" w:cs="宋体"/>
          <w:color w:val="auto"/>
          <w:szCs w:val="21"/>
          <w:highlight w:val="none"/>
        </w:rPr>
        <w:t>（格式自拟，必须提供，否则竞标无效，不进入下一阶段谈判）；</w:t>
      </w:r>
    </w:p>
    <w:p>
      <w:pPr>
        <w:pStyle w:val="9"/>
        <w:adjustRightInd w:val="0"/>
        <w:snapToGrid w:val="0"/>
        <w:spacing w:line="440" w:lineRule="exact"/>
        <w:rPr>
          <w:color w:val="auto"/>
          <w:highlight w:val="none"/>
        </w:rPr>
      </w:pPr>
      <w:r>
        <w:rPr>
          <w:rFonts w:hint="eastAsia" w:hAnsi="宋体" w:cs="宋体"/>
          <w:color w:val="auto"/>
          <w:szCs w:val="21"/>
          <w:highlight w:val="none"/>
        </w:rPr>
        <w:t>17</w:t>
      </w:r>
      <w:r>
        <w:rPr>
          <w:rFonts w:hAnsi="宋体" w:cs="宋体"/>
          <w:color w:val="auto"/>
          <w:szCs w:val="21"/>
          <w:highlight w:val="none"/>
        </w:rPr>
        <w:t>）谈判供应商认为需要提供的有关资料。</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5.7第</w:t>
      </w:r>
      <w:r>
        <w:rPr>
          <w:rFonts w:hint="eastAsia" w:hAnsi="宋体" w:cs="宋体"/>
          <w:color w:val="auto"/>
          <w:szCs w:val="21"/>
          <w:highlight w:val="none"/>
        </w:rPr>
        <w:t>五</w:t>
      </w:r>
      <w:r>
        <w:rPr>
          <w:rFonts w:hAnsi="宋体" w:cs="宋体"/>
          <w:color w:val="auto"/>
          <w:szCs w:val="21"/>
          <w:highlight w:val="none"/>
        </w:rPr>
        <w:t>章“谈判响应文件基本格式”中规定了竞争性谈判响应文件格式的，应按相应格式要求编写、签名、盖章（有特殊要求除外），否则竞标无效，不进入下一阶段谈判。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6. 计量单位</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6.1除技术要求中另有规定外，本文件所要求使用的计量单位均应采用国家法定计量单位。</w:t>
      </w:r>
    </w:p>
    <w:p>
      <w:pPr>
        <w:pStyle w:val="9"/>
        <w:adjustRightInd w:val="0"/>
        <w:snapToGrid w:val="0"/>
        <w:spacing w:line="440" w:lineRule="exact"/>
        <w:rPr>
          <w:rFonts w:hAnsi="宋体" w:cs="宋体"/>
          <w:b/>
          <w:bCs/>
          <w:color w:val="auto"/>
          <w:szCs w:val="21"/>
          <w:highlight w:val="none"/>
        </w:rPr>
      </w:pPr>
      <w:r>
        <w:rPr>
          <w:rFonts w:hAnsi="宋体" w:cs="宋体"/>
          <w:b/>
          <w:bCs/>
          <w:color w:val="auto"/>
          <w:szCs w:val="21"/>
          <w:highlight w:val="none"/>
        </w:rPr>
        <w:t>三、谈判报价要求</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7.1对于本文件中未列明，而谈判供应商认为必需的费用也需列入总报价。在合同实施时，采购人将不予支付成交供应商没有列入的项目费用，并认为此项目的费用已包括在总报价中。</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7.2成交供应商负责本项目所需货物的制造、运输、售后服务等全部工作</w:t>
      </w:r>
      <w:r>
        <w:rPr>
          <w:rFonts w:hint="eastAsia" w:hAnsi="宋体" w:cs="宋体"/>
          <w:color w:val="auto"/>
          <w:szCs w:val="21"/>
          <w:highlight w:val="none"/>
        </w:rPr>
        <w:t>，且不得超过采购预算价</w:t>
      </w:r>
      <w:r>
        <w:rPr>
          <w:rFonts w:hAnsi="宋体" w:cs="宋体"/>
          <w:color w:val="auto"/>
          <w:szCs w:val="21"/>
          <w:highlight w:val="none"/>
        </w:rPr>
        <w:t>。</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7.3谈判供应商应在竞标报价表上详细标明单价和总价金额（如有分标，按分标填写总价金额）。响应文件的价格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如果谈判供应商不接受对其错误的更正，其竞标将被拒绝。</w:t>
      </w:r>
    </w:p>
    <w:p>
      <w:pPr>
        <w:pStyle w:val="9"/>
        <w:adjustRightInd w:val="0"/>
        <w:snapToGrid w:val="0"/>
        <w:spacing w:line="440" w:lineRule="exact"/>
        <w:rPr>
          <w:rFonts w:hAnsi="宋体" w:cs="宋体"/>
          <w:b/>
          <w:bCs/>
          <w:color w:val="auto"/>
          <w:szCs w:val="21"/>
          <w:highlight w:val="none"/>
        </w:rPr>
      </w:pPr>
      <w:r>
        <w:rPr>
          <w:rFonts w:hAnsi="宋体" w:cs="宋体"/>
          <w:b/>
          <w:bCs/>
          <w:color w:val="auto"/>
          <w:szCs w:val="21"/>
          <w:highlight w:val="none"/>
        </w:rPr>
        <w:t>四、竞争性谈判响应文件的份数、封装和递交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8. 谈判响应文件的份数和封装</w:t>
      </w:r>
    </w:p>
    <w:p>
      <w:pPr>
        <w:pStyle w:val="9"/>
        <w:adjustRightInd w:val="0"/>
        <w:snapToGrid w:val="0"/>
        <w:spacing w:line="440" w:lineRule="exact"/>
        <w:rPr>
          <w:rFonts w:hint="eastAsia" w:hAnsi="宋体" w:eastAsia="宋体" w:cs="宋体"/>
          <w:color w:val="auto"/>
          <w:szCs w:val="21"/>
          <w:highlight w:val="none"/>
          <w:lang w:eastAsia="zh-CN"/>
        </w:rPr>
      </w:pPr>
      <w:r>
        <w:rPr>
          <w:rFonts w:hAnsi="宋体" w:cs="宋体"/>
          <w:color w:val="auto"/>
          <w:szCs w:val="21"/>
          <w:highlight w:val="none"/>
        </w:rPr>
        <w:t>8.1竞争性谈判响应文件的份数</w:t>
      </w:r>
      <w:r>
        <w:rPr>
          <w:rFonts w:hint="eastAsia" w:hAnsi="宋体" w:cs="宋体"/>
          <w:color w:val="auto"/>
          <w:szCs w:val="21"/>
          <w:highlight w:val="none"/>
          <w:lang w:eastAsia="zh-CN"/>
        </w:rPr>
        <w:t>为</w:t>
      </w:r>
      <w:r>
        <w:rPr>
          <w:rFonts w:hint="eastAsia" w:ascii="宋体" w:hAnsi="宋体" w:cs="宋体"/>
          <w:color w:val="auto"/>
          <w:sz w:val="21"/>
          <w:szCs w:val="21"/>
          <w:highlight w:val="none"/>
          <w:u w:val="none"/>
        </w:rPr>
        <w:t>正本一份，副本三份。</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8.2谈判供应商应将竞争性谈判响应文件中“价格文件”</w:t>
      </w:r>
      <w:r>
        <w:rPr>
          <w:rFonts w:hint="eastAsia" w:hAnsi="宋体" w:cs="宋体"/>
          <w:color w:val="auto"/>
          <w:highlight w:val="none"/>
        </w:rPr>
        <w:t>（含“正本”和“副本”）</w:t>
      </w:r>
      <w:r>
        <w:rPr>
          <w:rFonts w:hAnsi="宋体" w:cs="宋体"/>
          <w:color w:val="auto"/>
          <w:szCs w:val="21"/>
          <w:highlight w:val="none"/>
        </w:rPr>
        <w:t>和“商务技术文件”</w:t>
      </w:r>
      <w:r>
        <w:rPr>
          <w:rFonts w:hint="eastAsia" w:hAnsi="宋体" w:cs="宋体"/>
          <w:color w:val="auto"/>
          <w:highlight w:val="none"/>
        </w:rPr>
        <w:t>（含“正本”和“副本”）</w:t>
      </w:r>
      <w:r>
        <w:rPr>
          <w:rFonts w:hint="eastAsia" w:hAnsi="宋体" w:cs="宋体"/>
          <w:color w:val="auto"/>
          <w:highlight w:val="none"/>
          <w:lang w:eastAsia="zh-CN"/>
        </w:rPr>
        <w:t>两部分</w:t>
      </w:r>
      <w:r>
        <w:rPr>
          <w:rFonts w:hAnsi="宋体" w:cs="宋体"/>
          <w:color w:val="auto"/>
          <w:szCs w:val="21"/>
          <w:highlight w:val="none"/>
        </w:rPr>
        <w:t>。“价格文件</w:t>
      </w:r>
      <w:r>
        <w:rPr>
          <w:rFonts w:hint="eastAsia" w:hAnsi="宋体" w:cs="宋体"/>
          <w:color w:val="auto"/>
          <w:szCs w:val="21"/>
          <w:highlight w:val="none"/>
        </w:rPr>
        <w:t>和</w:t>
      </w:r>
      <w:r>
        <w:rPr>
          <w:rFonts w:hAnsi="宋体" w:cs="宋体"/>
          <w:color w:val="auto"/>
          <w:szCs w:val="21"/>
          <w:highlight w:val="none"/>
        </w:rPr>
        <w:t>商务技术文件”</w:t>
      </w:r>
      <w:r>
        <w:rPr>
          <w:rFonts w:hint="eastAsia" w:hAnsi="宋体" w:cs="宋体"/>
          <w:color w:val="auto"/>
          <w:highlight w:val="none"/>
        </w:rPr>
        <w:t>应分别密封在</w:t>
      </w:r>
      <w:r>
        <w:rPr>
          <w:rFonts w:hint="eastAsia" w:hAnsi="宋体" w:cs="宋体"/>
          <w:color w:val="auto"/>
          <w:highlight w:val="none"/>
          <w:lang w:eastAsia="zh-CN"/>
        </w:rPr>
        <w:t>两</w:t>
      </w:r>
      <w:r>
        <w:rPr>
          <w:rFonts w:hint="eastAsia" w:hAnsi="宋体" w:cs="宋体"/>
          <w:color w:val="auto"/>
          <w:highlight w:val="none"/>
        </w:rPr>
        <w:t>个竞标文件袋中，并注明</w:t>
      </w:r>
      <w:r>
        <w:rPr>
          <w:rFonts w:hAnsi="宋体" w:cs="宋体"/>
          <w:color w:val="auto"/>
          <w:szCs w:val="21"/>
          <w:highlight w:val="none"/>
        </w:rPr>
        <w:t>“价格文件”</w:t>
      </w:r>
      <w:r>
        <w:rPr>
          <w:rFonts w:hint="eastAsia" w:hAnsi="宋体" w:cs="宋体"/>
          <w:color w:val="auto"/>
          <w:szCs w:val="21"/>
          <w:highlight w:val="none"/>
          <w:lang w:eastAsia="zh-CN"/>
        </w:rPr>
        <w:t>部分</w:t>
      </w:r>
      <w:r>
        <w:rPr>
          <w:rFonts w:hAnsi="宋体" w:cs="宋体"/>
          <w:color w:val="auto"/>
          <w:szCs w:val="21"/>
          <w:highlight w:val="none"/>
        </w:rPr>
        <w:t>和“商务技术文件”</w:t>
      </w:r>
      <w:r>
        <w:rPr>
          <w:rFonts w:hint="eastAsia" w:hAnsi="宋体" w:cs="宋体"/>
          <w:color w:val="auto"/>
          <w:szCs w:val="21"/>
          <w:highlight w:val="none"/>
          <w:lang w:eastAsia="zh-CN"/>
        </w:rPr>
        <w:t>部分</w:t>
      </w:r>
      <w:r>
        <w:rPr>
          <w:rFonts w:hAnsi="宋体" w:cs="宋体"/>
          <w:color w:val="auto"/>
          <w:szCs w:val="21"/>
          <w:highlight w:val="none"/>
        </w:rPr>
        <w:t>，然后再将</w:t>
      </w:r>
      <w:r>
        <w:rPr>
          <w:rFonts w:hint="eastAsia" w:hAnsi="宋体" w:cs="宋体"/>
          <w:color w:val="auto"/>
          <w:highlight w:val="none"/>
        </w:rPr>
        <w:t>密封在一个外层包封袋中（即采用双层包封法密封），内外层包装袋及封口处须由法定代表人或委托代理人签字和加盖单位公章，否则其竞标无效。</w:t>
      </w:r>
      <w:r>
        <w:rPr>
          <w:rFonts w:hAnsi="宋体" w:cs="宋体"/>
          <w:color w:val="auto"/>
          <w:szCs w:val="21"/>
          <w:highlight w:val="none"/>
        </w:rPr>
        <w:t>。</w:t>
      </w:r>
    </w:p>
    <w:p>
      <w:pPr>
        <w:pStyle w:val="9"/>
        <w:spacing w:line="420" w:lineRule="exact"/>
        <w:rPr>
          <w:rFonts w:hAnsi="宋体" w:cs="宋体"/>
          <w:bCs/>
          <w:color w:val="auto"/>
          <w:highlight w:val="none"/>
        </w:rPr>
      </w:pPr>
      <w:r>
        <w:rPr>
          <w:rFonts w:hint="eastAsia" w:hAnsi="宋体" w:cs="宋体"/>
          <w:bCs/>
          <w:color w:val="auto"/>
          <w:highlight w:val="none"/>
          <w:lang w:val="en-US" w:eastAsia="zh-CN"/>
        </w:rPr>
        <w:t>8</w:t>
      </w:r>
      <w:r>
        <w:rPr>
          <w:rFonts w:hint="eastAsia" w:hAnsi="宋体" w:cs="宋体"/>
          <w:bCs/>
          <w:color w:val="auto"/>
          <w:highlight w:val="none"/>
        </w:rPr>
        <w:t>.</w:t>
      </w:r>
      <w:r>
        <w:rPr>
          <w:rFonts w:hint="eastAsia" w:hAnsi="宋体" w:cs="宋体"/>
          <w:bCs/>
          <w:color w:val="auto"/>
          <w:highlight w:val="none"/>
          <w:lang w:val="en-US" w:eastAsia="zh-CN"/>
        </w:rPr>
        <w:t>3</w:t>
      </w:r>
      <w:r>
        <w:rPr>
          <w:rFonts w:hint="eastAsia" w:hAnsi="宋体" w:cs="宋体"/>
          <w:bCs/>
          <w:color w:val="auto"/>
          <w:highlight w:val="none"/>
        </w:rPr>
        <w:t xml:space="preserve"> 内层和外层包封都应写明竞标人名称和地址、邮政编码、工程名称，并注明开标时间以前不得开封，以便竞标出现逾期送达时能原封退回。</w:t>
      </w:r>
    </w:p>
    <w:p>
      <w:pPr>
        <w:pStyle w:val="9"/>
        <w:spacing w:line="420" w:lineRule="exact"/>
        <w:rPr>
          <w:rFonts w:hAnsi="宋体" w:cs="宋体"/>
          <w:bCs/>
          <w:color w:val="auto"/>
          <w:highlight w:val="none"/>
        </w:rPr>
      </w:pPr>
      <w:r>
        <w:rPr>
          <w:rFonts w:hint="eastAsia" w:hAnsi="宋体" w:cs="宋体"/>
          <w:bCs/>
          <w:color w:val="auto"/>
          <w:highlight w:val="none"/>
          <w:lang w:val="en-US" w:eastAsia="zh-CN"/>
        </w:rPr>
        <w:t>8</w:t>
      </w:r>
      <w:r>
        <w:rPr>
          <w:rFonts w:hint="eastAsia" w:hAnsi="宋体" w:cs="宋体"/>
          <w:bCs/>
          <w:color w:val="auto"/>
          <w:highlight w:val="none"/>
        </w:rPr>
        <w:t>.</w:t>
      </w:r>
      <w:r>
        <w:rPr>
          <w:rFonts w:hint="eastAsia" w:hAnsi="宋体" w:cs="宋体"/>
          <w:bCs/>
          <w:color w:val="auto"/>
          <w:highlight w:val="none"/>
          <w:lang w:val="en-US" w:eastAsia="zh-CN"/>
        </w:rPr>
        <w:t>4</w:t>
      </w:r>
      <w:r>
        <w:rPr>
          <w:rFonts w:hint="eastAsia" w:hAnsi="宋体" w:cs="宋体"/>
          <w:bCs/>
          <w:color w:val="auto"/>
          <w:highlight w:val="none"/>
        </w:rPr>
        <w:t xml:space="preserve"> 如果内外层包封没有按上述规定密封并加写标志，采购代理机构将不承担竞标文件错放或提前开封的责任，由此造成的提前开封的竞标文件将予以拒绝，并退还竞标人。</w:t>
      </w:r>
    </w:p>
    <w:p>
      <w:pPr>
        <w:pStyle w:val="9"/>
        <w:spacing w:line="420" w:lineRule="exact"/>
        <w:rPr>
          <w:rFonts w:hAnsi="宋体" w:cs="宋体"/>
          <w:bCs/>
          <w:color w:val="auto"/>
          <w:highlight w:val="none"/>
        </w:rPr>
      </w:pPr>
      <w:r>
        <w:rPr>
          <w:rFonts w:hint="eastAsia" w:hAnsi="宋体" w:cs="宋体"/>
          <w:bCs/>
          <w:color w:val="auto"/>
          <w:highlight w:val="none"/>
          <w:lang w:val="en-US" w:eastAsia="zh-CN"/>
        </w:rPr>
        <w:t>8</w:t>
      </w:r>
      <w:r>
        <w:rPr>
          <w:rFonts w:hint="eastAsia" w:hAnsi="宋体" w:cs="宋体"/>
          <w:bCs/>
          <w:color w:val="auto"/>
          <w:highlight w:val="none"/>
        </w:rPr>
        <w:t>.</w:t>
      </w:r>
      <w:r>
        <w:rPr>
          <w:rFonts w:hint="eastAsia" w:hAnsi="宋体" w:cs="宋体"/>
          <w:bCs/>
          <w:color w:val="auto"/>
          <w:highlight w:val="none"/>
          <w:lang w:val="en-US" w:eastAsia="zh-CN"/>
        </w:rPr>
        <w:t>5</w:t>
      </w:r>
      <w:r>
        <w:rPr>
          <w:rFonts w:hint="eastAsia" w:hAnsi="宋体" w:cs="宋体"/>
          <w:bCs/>
          <w:color w:val="auto"/>
          <w:highlight w:val="none"/>
        </w:rPr>
        <w:t xml:space="preserve"> 竞标文件递交至前附表第17项所述的单位和地址。</w:t>
      </w:r>
    </w:p>
    <w:p>
      <w:pPr>
        <w:pStyle w:val="9"/>
        <w:spacing w:line="420" w:lineRule="exact"/>
        <w:rPr>
          <w:rFonts w:hAnsi="宋体" w:cs="宋体"/>
          <w:color w:val="auto"/>
          <w:highlight w:val="none"/>
        </w:rPr>
      </w:pPr>
      <w:r>
        <w:rPr>
          <w:rFonts w:hint="eastAsia" w:hAnsi="宋体" w:cs="宋体"/>
          <w:color w:val="auto"/>
          <w:highlight w:val="none"/>
          <w:lang w:val="en-US" w:eastAsia="zh-CN"/>
        </w:rPr>
        <w:t>8</w:t>
      </w:r>
      <w:r>
        <w:rPr>
          <w:rFonts w:hint="eastAsia" w:hAnsi="宋体" w:cs="宋体"/>
          <w:color w:val="auto"/>
          <w:highlight w:val="none"/>
        </w:rPr>
        <w:t>.</w:t>
      </w:r>
      <w:r>
        <w:rPr>
          <w:rFonts w:hint="eastAsia" w:hAnsi="宋体" w:cs="宋体"/>
          <w:color w:val="auto"/>
          <w:highlight w:val="none"/>
          <w:lang w:val="en-US" w:eastAsia="zh-CN"/>
        </w:rPr>
        <w:t>6</w:t>
      </w:r>
      <w:r>
        <w:rPr>
          <w:rFonts w:hint="eastAsia" w:hAnsi="宋体" w:cs="宋体"/>
          <w:color w:val="auto"/>
          <w:highlight w:val="none"/>
        </w:rPr>
        <w:t>竞标人在递交竞标文件时，未按本须知要求密封、标记的，采购代理机构有权拒收，拒收所产生的后果由竞标人自负。</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9. 竞争性谈判响应文件的递交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9.1所有竞争性谈判竞争性响应文件应于“第一章 谈判供应商须知前附表”中规定的时间前递交到规定地点。</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10.迟交的竞争性谈判响应文件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按《中华人民共和国政府采购法》的规定，广西祥立工程咨询有限责任公司将拒绝或原封退回在其规定的递交竞争性谈判响应文件截止时间之后收到的任何竞争性谈判响应文件。</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五、谈判的步骤</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11.1实质审查</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（1）谈判小组审查竞争性谈判响应文件的实质性内容是否符合竞争性谈判文件的实质性要求。</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2）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谈判小组要求供应商澄清、说明或者更正响应文件以书面形式作出。供应商的澄清、说明或者更正应当由</w:t>
      </w:r>
      <w:r>
        <w:rPr>
          <w:rFonts w:hint="eastAsia" w:hAnsi="宋体" w:cs="宋体"/>
          <w:color w:val="auto"/>
          <w:szCs w:val="21"/>
          <w:highlight w:val="none"/>
          <w:lang w:eastAsia="zh-CN"/>
        </w:rPr>
        <w:t>法定代表人或负责人</w:t>
      </w:r>
      <w:r>
        <w:rPr>
          <w:rFonts w:hint="eastAsia" w:hAnsi="宋体" w:cs="宋体"/>
          <w:color w:val="auto"/>
          <w:szCs w:val="21"/>
          <w:highlight w:val="none"/>
        </w:rPr>
        <w:t>或其授权代表签字或者加盖公章。</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未实质性响应谈判文件的谈判响应文件按无效处理，谈判小组应当告知有关供应商。</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11.2无效竞标</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在符合性审查和资格性审查时，如发现下列情形之一的，竞标文件将被视为无效：</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（1）超越了按照法律法规规定必须获得行政许可证或者行政审批的经营范围的；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（2）资格证明文件不全的，或者不符合竞争性谈判文件标明的资格要求的；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（3）响应文件无</w:t>
      </w:r>
      <w:r>
        <w:rPr>
          <w:rFonts w:hint="eastAsia" w:hAnsi="宋体" w:cs="宋体"/>
          <w:color w:val="auto"/>
          <w:szCs w:val="21"/>
          <w:highlight w:val="none"/>
          <w:lang w:eastAsia="zh-CN"/>
        </w:rPr>
        <w:t>法定代表人或负责人</w:t>
      </w:r>
      <w:r>
        <w:rPr>
          <w:rFonts w:hint="eastAsia" w:hAnsi="宋体" w:cs="宋体"/>
          <w:color w:val="auto"/>
          <w:szCs w:val="21"/>
          <w:highlight w:val="none"/>
        </w:rPr>
        <w:t>或其授权委托代理人签字,或未提供</w:t>
      </w:r>
      <w:r>
        <w:rPr>
          <w:rFonts w:hint="eastAsia" w:hAnsi="宋体" w:cs="宋体"/>
          <w:color w:val="auto"/>
          <w:szCs w:val="21"/>
          <w:highlight w:val="none"/>
          <w:lang w:eastAsia="zh-CN"/>
        </w:rPr>
        <w:t>法定代表人或负责人</w:t>
      </w:r>
      <w:r>
        <w:rPr>
          <w:rFonts w:hint="eastAsia" w:hAnsi="宋体" w:cs="宋体"/>
          <w:color w:val="auto"/>
          <w:szCs w:val="21"/>
          <w:highlight w:val="none"/>
        </w:rPr>
        <w:t>身份证明、</w:t>
      </w:r>
      <w:r>
        <w:rPr>
          <w:rFonts w:hint="eastAsia" w:hAnsi="宋体" w:cs="宋体"/>
          <w:color w:val="auto"/>
          <w:szCs w:val="21"/>
          <w:highlight w:val="none"/>
          <w:lang w:eastAsia="zh-CN"/>
        </w:rPr>
        <w:t>法定代表人或负责人</w:t>
      </w:r>
      <w:r>
        <w:rPr>
          <w:rFonts w:hint="eastAsia" w:hAnsi="宋体" w:cs="宋体"/>
          <w:color w:val="auto"/>
          <w:szCs w:val="21"/>
          <w:highlight w:val="none"/>
        </w:rPr>
        <w:t>授权委托书、谈判书或者填写项目不齐全的；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（4）竞标代表人未能出具有效身份证明或与</w:t>
      </w:r>
      <w:r>
        <w:rPr>
          <w:rFonts w:hint="eastAsia" w:hAnsi="宋体" w:cs="宋体"/>
          <w:color w:val="auto"/>
          <w:szCs w:val="21"/>
          <w:highlight w:val="none"/>
          <w:lang w:eastAsia="zh-CN"/>
        </w:rPr>
        <w:t>法定代表人或负责人</w:t>
      </w:r>
      <w:r>
        <w:rPr>
          <w:rFonts w:hint="eastAsia" w:hAnsi="宋体" w:cs="宋体"/>
          <w:color w:val="auto"/>
          <w:szCs w:val="21"/>
          <w:highlight w:val="none"/>
        </w:rPr>
        <w:t xml:space="preserve">授权委托人身份不符的； </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（5）项目填写不齐全或者内容虚假的；</w:t>
      </w:r>
    </w:p>
    <w:p>
      <w:pPr>
        <w:pStyle w:val="9"/>
        <w:adjustRightInd w:val="0"/>
        <w:snapToGrid w:val="0"/>
        <w:spacing w:line="440" w:lineRule="exact"/>
        <w:rPr>
          <w:rFonts w:hint="eastAsia" w:hAnsi="宋体" w:cs="宋体"/>
          <w:color w:val="auto"/>
          <w:szCs w:val="21"/>
          <w:highlight w:val="none"/>
        </w:rPr>
      </w:pPr>
      <w:r>
        <w:rPr>
          <w:rFonts w:hint="eastAsia" w:hAnsi="宋体" w:cs="宋体"/>
          <w:color w:val="auto"/>
          <w:szCs w:val="21"/>
          <w:highlight w:val="none"/>
        </w:rPr>
        <w:t>（6）响应文件的实质性内容未使用中文表述、意思表述不明确、前后矛盾或者使用计量单位不符合竞争性谈判文件要求的（经谈判小组认定并允许其当场更正的笔误除外）</w:t>
      </w:r>
    </w:p>
    <w:p>
      <w:pPr>
        <w:rPr>
          <w:highlight w:val="none"/>
        </w:rPr>
      </w:pP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（7）竞标有效期、交货时间、质保期、售后服务等商务条款不能满足竞争性谈判文件要求的；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（8）未实质性响应竞争性谈判文件要求或者响应文件有采购方不能接受的附加条件的。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20.2 在技术评审时，如发现下列情形之一的，响应文件将被视为无效：</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（1）未提供或未如实提供竞标货物的技术参数，或者响应文件标明的响应或偏离与事实不符或虚假竞标的；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 xml:space="preserve">（2）允许偏离的技术、性能指标或者辅助功能项目发生负偏离达“2”项（含）数以上的； </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（3）竞标技术方案不明确，存在一个或一个以上备选（替代）竞标方案的；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（4）与其他参加本次竞标供应商的响应文件（技术文件）的文字表述内容差错相同二处以上的；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20.3在报价评审时，如发现下列情形之一的，响应文件将被视为无效：</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（1）未采用人民币报价或者未按照竞争性谈判文件标明的币种报价的；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（2）报价超出最高限价，或者超出采购预算金额，采购人不能支付的；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（3）竞标报价具有选择性，或者开标价格与响应文件承诺的优惠（折扣）价格不一致的；</w:t>
      </w:r>
    </w:p>
    <w:p>
      <w:pPr>
        <w:pStyle w:val="9"/>
        <w:adjustRightInd w:val="0"/>
        <w:snapToGrid w:val="0"/>
        <w:spacing w:line="440" w:lineRule="exact"/>
        <w:rPr>
          <w:rFonts w:hAnsi="宋体" w:cs="宋体"/>
          <w:color w:val="auto"/>
          <w:szCs w:val="21"/>
          <w:highlight w:val="none"/>
        </w:rPr>
      </w:pPr>
      <w:r>
        <w:rPr>
          <w:rFonts w:hint="eastAsia" w:hAnsi="宋体" w:cs="宋体"/>
          <w:color w:val="auto"/>
          <w:szCs w:val="21"/>
          <w:highlight w:val="none"/>
        </w:rPr>
        <w:t xml:space="preserve">（4）谈判供应商未就所投分标的全部内容作完整唯一报价的，或有漏项报价的或有选择的或有条件的报价的。  </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11.</w:t>
      </w:r>
      <w:r>
        <w:rPr>
          <w:rFonts w:hint="eastAsia" w:hAnsi="宋体" w:cs="宋体"/>
          <w:color w:val="auto"/>
          <w:szCs w:val="21"/>
          <w:highlight w:val="none"/>
        </w:rPr>
        <w:t>3</w:t>
      </w:r>
      <w:r>
        <w:rPr>
          <w:rFonts w:hAnsi="宋体" w:cs="宋体"/>
          <w:color w:val="auto"/>
          <w:szCs w:val="21"/>
          <w:highlight w:val="none"/>
        </w:rPr>
        <w:t>第一轮谈判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谈判小组按已确定的谈判顺序，与单一供应商分别就符合采购需求、质量和服务等进行谈判，并了解其报价组成情况。</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谈判中，谈判的任何一方不得透露与谈判有关的其他供应商的技术资料、价格和其他信息。</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采购代理机构对谈判过程和重要谈判内容进行记录，谈判双方在记录上签字确认。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谈判小组一致确定响应供应商符合谈判文件要求的，按谈判文件设定的方法和标准确定成交候选人。第一轮谈判谈判小组未能确定成交候选人的，对谈判文件修正后进行第二轮谈判。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11.</w:t>
      </w:r>
      <w:r>
        <w:rPr>
          <w:rFonts w:hint="eastAsia" w:hAnsi="宋体" w:cs="宋体"/>
          <w:color w:val="auto"/>
          <w:szCs w:val="21"/>
          <w:highlight w:val="none"/>
        </w:rPr>
        <w:t>4</w:t>
      </w:r>
      <w:r>
        <w:rPr>
          <w:rFonts w:hAnsi="宋体" w:cs="宋体"/>
          <w:color w:val="auto"/>
          <w:szCs w:val="21"/>
          <w:highlight w:val="none"/>
        </w:rPr>
        <w:t>谈判文件修正</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⑴、第一轮谈判结束后，各响应供应商退场等候，谈判小组进行合议。根据第一轮谈判掌握的情况，可以对谈判文件进行修改，确定采购内容的详细规格或具体要求，优化采购方案。</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⑵、采购代理机构通知响应供应商集中，谈判小组强调调整后的采购要求，将谈判文件的修改结果以书面形式通知响应供应商，向响应供应商提供较充分的修正时间。</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⑶、响应供应商根据第一轮谈判情况和谈判文件修改书面通知，对原响应文件进行修正，并将修正文件签字（盖章）后密封送交谈判小组。逾时不交的，视同放弃谈判。修正文件与响应文件同具法律效力。</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11.</w:t>
      </w:r>
      <w:r>
        <w:rPr>
          <w:rFonts w:hint="eastAsia" w:hAnsi="宋体" w:cs="宋体"/>
          <w:color w:val="auto"/>
          <w:szCs w:val="21"/>
          <w:highlight w:val="none"/>
        </w:rPr>
        <w:t>5</w:t>
      </w:r>
      <w:r>
        <w:rPr>
          <w:rFonts w:hAnsi="宋体" w:cs="宋体"/>
          <w:color w:val="auto"/>
          <w:szCs w:val="21"/>
          <w:highlight w:val="none"/>
        </w:rPr>
        <w:t>第二轮谈判</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谈判小组就修正后的响应文件与响应供应商分别进行谈判。采购代理机构对谈判过程和重要谈判内容进行记录，谈判双方在记录上签字确认。谈判小组按谈判文件设定的方法和标准确定成交候选人。</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第二轮谈判谈判小组未能确定成交候选人的，对谈判文件修正后进行第三轮谈判。以此类推。</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11.</w:t>
      </w:r>
      <w:r>
        <w:rPr>
          <w:rFonts w:hint="eastAsia" w:hAnsi="宋体" w:cs="宋体"/>
          <w:color w:val="auto"/>
          <w:szCs w:val="21"/>
          <w:highlight w:val="none"/>
        </w:rPr>
        <w:t>6</w:t>
      </w:r>
      <w:r>
        <w:rPr>
          <w:rFonts w:hAnsi="宋体" w:cs="宋体"/>
          <w:color w:val="auto"/>
          <w:szCs w:val="21"/>
          <w:highlight w:val="none"/>
        </w:rPr>
        <w:t>最后报价</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成交候选人作最后报价，密封递交谈判小组。谈判小组按报价从低到高排序，推荐成交候选人顺序，形成谈判报告。</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11.</w:t>
      </w:r>
      <w:r>
        <w:rPr>
          <w:rFonts w:hint="eastAsia" w:hAnsi="宋体" w:cs="宋体"/>
          <w:color w:val="auto"/>
          <w:szCs w:val="21"/>
          <w:highlight w:val="none"/>
        </w:rPr>
        <w:t>7</w:t>
      </w:r>
      <w:r>
        <w:rPr>
          <w:rFonts w:hAnsi="宋体" w:cs="宋体"/>
          <w:color w:val="auto"/>
          <w:szCs w:val="21"/>
          <w:highlight w:val="none"/>
        </w:rPr>
        <w:t>响应供应商的报价均超过了政府采购预算，采购人不能支付的，谈判活动终止；终止后，采购人需要采取调整采购预算或项目配置标准等，或采取其他采购方式的，应当在采购活动开始前获得财政部门批准。</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六、确定成交供应商办法</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12.1 谈判小组只要求商务评审和技术（服务）评审合格的谈判供应商在规定的时间内进行报价。</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12.2谈判小组将根据需要决定是否要求所有合格的谈判供应商在规定时间内进行第二次或最后报价，该最后报价将作为谈判小组评比的最终依据。</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12.3根据以下原则确定成交供应商：</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12.3.1质量和服务均能满足采购文件实质性响应要求且最后报价最低的原则确定成交供应商。（详见第二章评标方法）</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七、签订合同</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13.成交供应商在收到成交通知书后，按规定与采购人签订供货服务合同。</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八、适用法律</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14.采购当事人的一切活动均适用于《中华人民共和国政府采购法》及相关规定。</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最终谈判结束后，谈判小组不得再与谈判供应商进行任何形式的商谈。</w:t>
      </w:r>
    </w:p>
    <w:p>
      <w:pPr>
        <w:spacing w:line="400" w:lineRule="exact"/>
        <w:jc w:val="center"/>
        <w:rPr>
          <w:rFonts w:ascii="宋体" w:hAnsi="宋体" w:cs="宋体"/>
          <w:b/>
          <w:color w:val="auto"/>
          <w:szCs w:val="21"/>
          <w:highlight w:val="none"/>
        </w:rPr>
      </w:pPr>
      <w:r>
        <w:rPr>
          <w:rFonts w:hAnsi="宋体" w:cs="宋体"/>
          <w:color w:val="auto"/>
          <w:szCs w:val="21"/>
          <w:highlight w:val="none"/>
        </w:rPr>
        <w:br w:type="page"/>
      </w:r>
      <w:r>
        <w:rPr>
          <w:b/>
          <w:bCs/>
          <w:color w:val="auto"/>
          <w:sz w:val="28"/>
          <w:szCs w:val="28"/>
          <w:highlight w:val="none"/>
        </w:rPr>
        <w:t>第</w:t>
      </w:r>
      <w:r>
        <w:rPr>
          <w:rFonts w:hint="eastAsia"/>
          <w:b/>
          <w:bCs/>
          <w:color w:val="auto"/>
          <w:sz w:val="28"/>
          <w:szCs w:val="28"/>
          <w:highlight w:val="none"/>
        </w:rPr>
        <w:t>三</w:t>
      </w:r>
      <w:r>
        <w:rPr>
          <w:b/>
          <w:bCs/>
          <w:color w:val="auto"/>
          <w:sz w:val="28"/>
          <w:szCs w:val="28"/>
          <w:highlight w:val="none"/>
        </w:rPr>
        <w:t>章  评标方法</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一、评标原则：</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（一）谈判小组的构成：本采购项目的谈判小组分别由依法组成的评审专家、采购人代表等</w:t>
      </w:r>
      <w:r>
        <w:rPr>
          <w:rFonts w:hint="eastAsia" w:hAnsi="宋体" w:cs="宋体"/>
          <w:color w:val="auto"/>
          <w:szCs w:val="21"/>
          <w:highlight w:val="none"/>
        </w:rPr>
        <w:t>三</w:t>
      </w:r>
      <w:r>
        <w:rPr>
          <w:rFonts w:hAnsi="宋体" w:cs="宋体"/>
          <w:color w:val="auto"/>
          <w:szCs w:val="21"/>
          <w:highlight w:val="none"/>
        </w:rPr>
        <w:t>人组成，其中专家人数不少于成员总数的三分之二。</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（二）评标依据：以谈判采购文件、竞标文件为评定依据。</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三）评标方法：谈判小组以竞争性谈判采购文件为依据，对竞标文件进行评审，在全部满足竞争性谈判采购文件实质性要求和条件的前提下，按竞标报价由低到高排列成交候选供应商顺序（报价相同时，按交付使用期短优先的顺序排列；报价相同且交付使用期相同时，采用抽签的方式决定成交候选供应商顺序），并依照次序确定成交供应商。</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四）按照《政府采购促进中小企业发展暂行办法》（财库[2011]181号），谈判供应商认定为小型和微型企业的（以响应文件提供的符合规定的有关证明材料为准），并提供本企业制造的货物，由本企业承担工程、提供服务，或者提供其他小型、微型企业制造的货物的（不包括使用大型企业注册商标的货物）</w:t>
      </w:r>
      <w:r>
        <w:rPr>
          <w:rFonts w:hint="eastAsia" w:hAnsi="宋体" w:cs="宋体"/>
          <w:color w:val="auto"/>
          <w:szCs w:val="21"/>
          <w:highlight w:val="none"/>
        </w:rPr>
        <w:t>，</w:t>
      </w:r>
      <w:r>
        <w:rPr>
          <w:rFonts w:hAnsi="宋体" w:cs="宋体"/>
          <w:color w:val="auto"/>
          <w:szCs w:val="21"/>
          <w:highlight w:val="none"/>
        </w:rPr>
        <w:t>对竞标价给予6%的扣除，扣除后的价格为评标报价，即评标报价=最终竞标报价×（1-6%）；大中型企业与小型、微型企业组成联合体竞标，其中小型、微型企业的协议合同金额占到联合体协议合同总金额30%以上的，联合体竞标价给予2%的扣除，扣除后的价格为评标价，即评标报价=最终竞标报价×（1-2%）；除上述情况外，评标报价=最终竞标报价。</w:t>
      </w:r>
    </w:p>
    <w:p>
      <w:pPr>
        <w:spacing w:line="420" w:lineRule="exact"/>
        <w:ind w:firstLine="409" w:firstLineChars="195"/>
        <w:rPr>
          <w:rFonts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按照《财政部、司法部关于政府采购支持监狱企业发展有关问题的通知》（财库〔2014〕68号）之规定，监狱企业视同小型、微型企业，享受预留份额、评审中价格扣除等政府采购政策。</w:t>
      </w:r>
    </w:p>
    <w:p>
      <w:pPr>
        <w:spacing w:line="420" w:lineRule="exact"/>
        <w:ind w:firstLine="409" w:firstLineChars="195"/>
        <w:rPr>
          <w:color w:val="auto"/>
          <w:highlight w:val="none"/>
        </w:rPr>
      </w:pPr>
      <w:r>
        <w:rPr>
          <w:rFonts w:hint="eastAsia" w:ascii="宋体" w:hAnsi="宋体" w:eastAsia="宋体" w:cs="宋体"/>
          <w:color w:val="auto"/>
          <w:kern w:val="2"/>
          <w:sz w:val="21"/>
          <w:szCs w:val="21"/>
          <w:highlight w:val="none"/>
          <w:lang w:val="en-US" w:eastAsia="zh-CN" w:bidi="ar-SA"/>
        </w:rPr>
        <w:t>按照《关于促进残疾人就业政府采购政策的通知》（财库〔2017〕141号）的规定，残疾人福利性单位视同小型、微型企业，享受预留份额、评审中价格扣除等促进中小企业发展的政府采购政策。残疾人福利性单位属于小型、微型企业的，不重复享受政策。</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二、成交候选供应商推荐原则</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一）谈判小组应当从质量和服务均能满足采购文件实质性响应要求的供应商中，按照最后报价由低到高的顺序提出3名成交候选人，并编写评审报告。采购人应当在收到评审报告后5个工作日内，从评审报告提出的成交候选人中，根据质量和服务均能满足采购文件实质性响应要求且最后报价最低的原则确定成交供应商，也可以书面授权谈判小组直接确定成交供应商。采购人逾期未确定成交供应商且不提出异议的，视为确定评审报告提出的最后报价最低的供应商为成交供应商。排名第一的成交候选人放弃成交、因不可抗力提出不能履行合同，或者采购文件规定应当提交履约保证金而在规定的期限内未能提交的，采购单位可以确定排名第二的成交候选人为成交供应商。排名第二的成交候选人因前款规定的同样原因不能签订合同的，采购单位可以确定排名第三的成交候选人为成交供应商，其余以此类推。</w:t>
      </w:r>
    </w:p>
    <w:p>
      <w:pPr>
        <w:pStyle w:val="9"/>
        <w:adjustRightInd w:val="0"/>
        <w:snapToGrid w:val="0"/>
        <w:spacing w:line="440" w:lineRule="exact"/>
        <w:rPr>
          <w:rFonts w:hAnsi="宋体" w:cs="宋体"/>
          <w:color w:val="auto"/>
          <w:szCs w:val="21"/>
          <w:highlight w:val="none"/>
        </w:rPr>
      </w:pPr>
      <w:r>
        <w:rPr>
          <w:rFonts w:hAnsi="宋体" w:cs="宋体"/>
          <w:color w:val="auto"/>
          <w:szCs w:val="21"/>
          <w:highlight w:val="none"/>
        </w:rPr>
        <w:t>（二）谈判小组认为，某谈判供应商的有效竞标报价或者某些分项报价明显不合理或者低于成本，有可能影响商品质量和不能诚信履约的，应要求其在规定的期限内提供书面文件予以解释说明，并提交相关证明材料；否则，谈判小组可以取消该谈判供应商的成交候选资格，按顺序由排在后面的成交候选人递补，以此类推。</w:t>
      </w:r>
    </w:p>
    <w:bookmarkEnd w:id="63"/>
    <w:bookmarkEnd w:id="64"/>
    <w:bookmarkEnd w:id="65"/>
    <w:bookmarkEnd w:id="66"/>
    <w:bookmarkEnd w:id="67"/>
    <w:bookmarkEnd w:id="68"/>
    <w:p>
      <w:pPr>
        <w:pStyle w:val="2"/>
        <w:rPr>
          <w:color w:val="auto"/>
          <w:highlight w:val="none"/>
        </w:rPr>
      </w:pPr>
    </w:p>
    <w:p>
      <w:pPr>
        <w:spacing w:line="400" w:lineRule="exact"/>
        <w:jc w:val="center"/>
        <w:rPr>
          <w:b/>
          <w:bCs/>
          <w:color w:val="auto"/>
          <w:sz w:val="28"/>
          <w:szCs w:val="28"/>
          <w:highlight w:val="none"/>
        </w:rPr>
      </w:pPr>
      <w:bookmarkStart w:id="69" w:name="_Toc230929135"/>
      <w:bookmarkStart w:id="70" w:name="_Toc231116031"/>
      <w:bookmarkStart w:id="71" w:name="_Toc371605812"/>
      <w:bookmarkStart w:id="72" w:name="_Toc230949374"/>
      <w:bookmarkStart w:id="73" w:name="_Toc200308967"/>
      <w:bookmarkStart w:id="74" w:name="_Toc199780486"/>
      <w:bookmarkStart w:id="75" w:name="_Toc147248435"/>
      <w:bookmarkStart w:id="76" w:name="_Toc200268364"/>
      <w:bookmarkStart w:id="77" w:name="_Toc156106970"/>
      <w:bookmarkStart w:id="78" w:name="_Toc185702587"/>
      <w:bookmarkStart w:id="79" w:name="_Toc185703009"/>
      <w:r>
        <w:rPr>
          <w:b/>
          <w:bCs/>
          <w:color w:val="auto"/>
          <w:sz w:val="28"/>
          <w:szCs w:val="28"/>
          <w:highlight w:val="none"/>
        </w:rPr>
        <w:t>第</w:t>
      </w:r>
      <w:r>
        <w:rPr>
          <w:rFonts w:hint="eastAsia"/>
          <w:b/>
          <w:bCs/>
          <w:color w:val="auto"/>
          <w:sz w:val="28"/>
          <w:szCs w:val="28"/>
          <w:highlight w:val="none"/>
        </w:rPr>
        <w:t>四</w:t>
      </w:r>
      <w:r>
        <w:rPr>
          <w:b/>
          <w:bCs/>
          <w:color w:val="auto"/>
          <w:sz w:val="28"/>
          <w:szCs w:val="28"/>
          <w:highlight w:val="none"/>
        </w:rPr>
        <w:t>章  谈判采购技术规格、参数及要求</w:t>
      </w:r>
    </w:p>
    <w:p>
      <w:pPr>
        <w:pStyle w:val="2"/>
        <w:rPr>
          <w:color w:val="auto"/>
          <w:highlight w:val="none"/>
        </w:rPr>
      </w:pPr>
    </w:p>
    <w:p>
      <w:pPr>
        <w:rPr>
          <w:rFonts w:ascii="宋体" w:hAnsi="宋体" w:cs="宋体"/>
          <w:color w:val="auto"/>
          <w:szCs w:val="21"/>
          <w:highlight w:val="none"/>
        </w:rPr>
      </w:pPr>
      <w:bookmarkStart w:id="80" w:name="_Toc254970631"/>
      <w:bookmarkStart w:id="81" w:name="_Toc254970490"/>
      <w:r>
        <w:rPr>
          <w:rFonts w:ascii="宋体" w:hAnsi="宋体" w:cs="宋体"/>
          <w:color w:val="auto"/>
          <w:szCs w:val="21"/>
          <w:highlight w:val="none"/>
        </w:rPr>
        <w:t>一、采购项目编号：</w:t>
      </w:r>
      <w:r>
        <w:rPr>
          <w:rFonts w:hint="eastAsia" w:ascii="宋体" w:hAnsi="宋体" w:cs="宋体"/>
          <w:color w:val="auto"/>
          <w:szCs w:val="21"/>
          <w:highlight w:val="none"/>
        </w:rPr>
        <w:t>HCZC2019-J3-50001-GXXL</w:t>
      </w:r>
    </w:p>
    <w:p>
      <w:pPr>
        <w:rPr>
          <w:rFonts w:ascii="宋体" w:hAnsi="宋体" w:cs="宋体"/>
          <w:color w:val="auto"/>
          <w:szCs w:val="21"/>
          <w:highlight w:val="none"/>
        </w:rPr>
      </w:pPr>
      <w:r>
        <w:rPr>
          <w:rFonts w:ascii="宋体" w:hAnsi="宋体" w:cs="宋体"/>
          <w:color w:val="auto"/>
          <w:szCs w:val="21"/>
          <w:highlight w:val="none"/>
        </w:rPr>
        <w:t>二、采购项目类别：</w:t>
      </w:r>
      <w:r>
        <w:rPr>
          <w:rFonts w:hint="eastAsia" w:ascii="宋体" w:hAnsi="宋体" w:cs="宋体"/>
          <w:color w:val="auto"/>
          <w:szCs w:val="21"/>
          <w:highlight w:val="none"/>
        </w:rPr>
        <w:t>服务</w:t>
      </w:r>
    </w:p>
    <w:p>
      <w:pPr>
        <w:rPr>
          <w:rFonts w:hint="eastAsia" w:ascii="宋体" w:hAnsi="宋体" w:cs="宋体"/>
          <w:color w:val="auto"/>
          <w:szCs w:val="21"/>
          <w:highlight w:val="none"/>
        </w:rPr>
      </w:pPr>
      <w:r>
        <w:rPr>
          <w:rFonts w:hint="eastAsia" w:ascii="宋体" w:hAnsi="宋体" w:cs="宋体"/>
          <w:color w:val="auto"/>
          <w:szCs w:val="21"/>
          <w:highlight w:val="none"/>
        </w:rPr>
        <w:t>三、采购项目需求：</w:t>
      </w:r>
      <w:bookmarkEnd w:id="80"/>
      <w:bookmarkEnd w:id="81"/>
    </w:p>
    <w:p>
      <w:pPr>
        <w:rPr>
          <w:rFonts w:hint="eastAsia" w:ascii="宋体" w:hAnsi="宋体" w:cs="宋体"/>
          <w:color w:val="auto"/>
          <w:szCs w:val="21"/>
          <w:highlight w:val="none"/>
        </w:rPr>
      </w:pPr>
      <w:r>
        <w:rPr>
          <w:rFonts w:hint="eastAsia" w:ascii="宋体" w:hAnsi="宋体" w:cs="宋体"/>
          <w:color w:val="auto"/>
          <w:szCs w:val="21"/>
          <w:highlight w:val="none"/>
        </w:rPr>
        <w:t>1、本要求中的品牌型号、技术参数及其性能（配置）仅起参考作用，谈判供应商可选用其他品牌型号替代，但这些替代的品牌型号要实质上相当于或优于参考品牌型号及其技术参数性能（配置）要求。</w:t>
      </w:r>
    </w:p>
    <w:p>
      <w:pPr>
        <w:rPr>
          <w:rFonts w:hint="eastAsia" w:ascii="宋体" w:hAnsi="宋体" w:cs="宋体"/>
          <w:color w:val="auto"/>
          <w:szCs w:val="21"/>
          <w:highlight w:val="none"/>
        </w:rPr>
      </w:pPr>
      <w:r>
        <w:rPr>
          <w:rFonts w:hint="eastAsia" w:ascii="宋体" w:hAnsi="宋体" w:cs="宋体"/>
          <w:color w:val="auto"/>
          <w:szCs w:val="21"/>
          <w:highlight w:val="none"/>
        </w:rPr>
        <w:t>2、本需求中参考品牌型号及技术参数及配置不明确或有误的，或谈判供应商选用其他品牌型号替代的，请以详细正确的品牌型号、技术参数及配置同时填写竞标报价明细表和技术响应表。3</w:t>
      </w:r>
      <w:r>
        <w:rPr>
          <w:rFonts w:hint="eastAsia" w:ascii="宋体" w:hAnsi="宋体" w:cs="宋体"/>
          <w:color w:val="auto"/>
          <w:szCs w:val="21"/>
          <w:highlight w:val="none"/>
          <w:lang w:eastAsia="zh-CN"/>
        </w:rPr>
        <w:t>、</w:t>
      </w:r>
      <w:r>
        <w:rPr>
          <w:rFonts w:hint="eastAsia" w:ascii="宋体" w:hAnsi="宋体" w:cs="宋体"/>
          <w:color w:val="auto"/>
          <w:szCs w:val="21"/>
          <w:highlight w:val="none"/>
        </w:rPr>
        <w:t>提供定制化完全独立的双系统终端82套；</w:t>
      </w:r>
    </w:p>
    <w:p>
      <w:pPr>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提供</w:t>
      </w:r>
      <w:r>
        <w:rPr>
          <w:rFonts w:hint="eastAsia" w:ascii="宋体" w:hAnsi="宋体" w:cs="宋体"/>
          <w:b/>
          <w:color w:val="auto"/>
          <w:szCs w:val="21"/>
          <w:highlight w:val="none"/>
        </w:rPr>
        <w:t>基础数据流量租用服务1</w:t>
      </w:r>
      <w:r>
        <w:rPr>
          <w:rFonts w:hint="eastAsia" w:ascii="宋体" w:hAnsi="宋体" w:cs="宋体"/>
          <w:color w:val="auto"/>
          <w:szCs w:val="21"/>
          <w:highlight w:val="none"/>
        </w:rPr>
        <w:t xml:space="preserve">：国内流量免费用（20G降速），国内通话300分钟，法院办公网互打1000分钟/月免费，需办理新号码; </w:t>
      </w:r>
      <w:r>
        <w:rPr>
          <w:rFonts w:hint="eastAsia" w:ascii="宋体" w:hAnsi="宋体" w:cs="宋体"/>
          <w:b/>
          <w:color w:val="auto"/>
          <w:szCs w:val="21"/>
          <w:highlight w:val="none"/>
        </w:rPr>
        <w:t>基础数据流量租用服务2</w:t>
      </w:r>
      <w:r>
        <w:rPr>
          <w:rFonts w:hint="eastAsia" w:ascii="宋体" w:hAnsi="宋体" w:cs="宋体"/>
          <w:color w:val="auto"/>
          <w:szCs w:val="21"/>
          <w:highlight w:val="none"/>
        </w:rPr>
        <w:t>：国内流量随意用（40G降速），国内通话1000分钟/月，法院办公网内互打1000分钟/月免费，需办理新号码。</w:t>
      </w:r>
    </w:p>
    <w:p>
      <w:pPr>
        <w:pStyle w:val="2"/>
        <w:rPr>
          <w:color w:val="auto"/>
          <w:highlight w:val="none"/>
        </w:rPr>
      </w:pPr>
      <w:r>
        <w:rPr>
          <w:rFonts w:hint="eastAsia" w:ascii="宋体" w:hAnsi="宋体" w:cs="宋体"/>
          <w:color w:val="auto"/>
          <w:szCs w:val="21"/>
          <w:highlight w:val="none"/>
        </w:rPr>
        <w:t>本次项目</w:t>
      </w:r>
      <w:r>
        <w:rPr>
          <w:rFonts w:hint="eastAsia" w:ascii="宋体" w:hAnsi="宋体" w:cs="宋体"/>
          <w:b/>
          <w:color w:val="auto"/>
          <w:szCs w:val="21"/>
          <w:highlight w:val="none"/>
        </w:rPr>
        <w:t>基础数据流量租用服务1</w:t>
      </w:r>
      <w:r>
        <w:rPr>
          <w:rFonts w:hint="eastAsia" w:ascii="宋体" w:hAnsi="宋体" w:cs="宋体"/>
          <w:color w:val="auto"/>
          <w:szCs w:val="21"/>
          <w:highlight w:val="none"/>
        </w:rPr>
        <w:t>（15套），</w:t>
      </w:r>
      <w:r>
        <w:rPr>
          <w:rFonts w:hint="eastAsia" w:ascii="宋体" w:hAnsi="宋体" w:cs="宋体"/>
          <w:b/>
          <w:color w:val="auto"/>
          <w:szCs w:val="21"/>
          <w:highlight w:val="none"/>
        </w:rPr>
        <w:t>基础数据流量租用服务</w:t>
      </w:r>
      <w:r>
        <w:rPr>
          <w:rFonts w:hint="eastAsia" w:ascii="宋体" w:hAnsi="宋体" w:cs="宋体"/>
          <w:b/>
          <w:color w:val="auto"/>
          <w:szCs w:val="21"/>
          <w:highlight w:val="none"/>
          <w:lang w:val="en-US" w:eastAsia="zh-CN"/>
        </w:rPr>
        <w:t>2</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67</w:t>
      </w:r>
      <w:r>
        <w:rPr>
          <w:rFonts w:hint="eastAsia" w:ascii="宋体" w:hAnsi="宋体" w:cs="宋体"/>
          <w:color w:val="auto"/>
          <w:szCs w:val="21"/>
          <w:highlight w:val="none"/>
        </w:rPr>
        <w:t>套）。</w:t>
      </w:r>
    </w:p>
    <w:p>
      <w:pPr>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配置要求：</w:t>
      </w:r>
    </w:p>
    <w:p>
      <w:pPr>
        <w:rPr>
          <w:rFonts w:hint="eastAsia"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配置一（</w:t>
      </w:r>
      <w:r>
        <w:rPr>
          <w:rFonts w:hint="eastAsia" w:cs="黑体" w:asciiTheme="majorEastAsia" w:hAnsiTheme="majorEastAsia" w:eastAsiaTheme="majorEastAsia"/>
          <w:b/>
          <w:bCs/>
          <w:color w:val="auto"/>
          <w:szCs w:val="21"/>
          <w:highlight w:val="none"/>
          <w:shd w:val="clear" w:color="auto" w:fill="auto"/>
        </w:rPr>
        <w:t>法院移动办公办案终端1</w:t>
      </w:r>
      <w:r>
        <w:rPr>
          <w:rFonts w:hint="eastAsia" w:ascii="宋体" w:hAnsi="宋体" w:cs="宋体"/>
          <w:b/>
          <w:color w:val="auto"/>
          <w:szCs w:val="21"/>
          <w:highlight w:val="none"/>
          <w:shd w:val="clear" w:color="auto" w:fill="auto"/>
        </w:rPr>
        <w:t>）：</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采购机型的技术参数必须满足：CPU: 八核 + 海思麒麟980（双核NPU）以上；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SIM卡：双卡双待单通，主副卡不区分卡槽；卡槽1（内卡槽）、卡槽2（外卡槽）可任意切换为主卡、副卡；卡槽1（内卡槽）支持Nano SIM卡，卡槽2（外卡槽）支持Nano SIM和microSD。</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屏幕：6.53英寸；</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机身内存：64G或以上；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运行内存：6GB或以上；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后置徕卡三摄：1200万像素（广角，f/1.8 光圈）+1600万像素（超广角，f/2.2 光圈）+800万像素（长焦，f/2.4 光圈），支持OIS光学防抖或以上；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前摄像头：2400万，ƒ/2.0光圈；</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电池容量：4000mAh（典型值）或以上；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主屏分辨率：2244*1080像素或以上；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系统：</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（1）操作系统：具备两个完全独立的操作系统（</w:t>
      </w:r>
      <w:r>
        <w:rPr>
          <w:rFonts w:hint="eastAsia" w:ascii="宋体" w:hAnsi="宋体" w:cs="宋体"/>
          <w:color w:val="auto"/>
          <w:sz w:val="21"/>
          <w:szCs w:val="21"/>
          <w:highlight w:val="none"/>
          <w:shd w:val="clear" w:color="auto" w:fill="auto"/>
          <w:lang w:eastAsia="zh-CN"/>
        </w:rPr>
        <w:t>分别用于个人模式和安全模式，并提供操作系统软件著作权证书产品鉴定意见报告和操作系统软件厂家授权书</w:t>
      </w:r>
      <w:r>
        <w:rPr>
          <w:rFonts w:hint="eastAsia" w:ascii="宋体" w:hAnsi="宋体" w:cs="宋体"/>
          <w:color w:val="auto"/>
          <w:sz w:val="21"/>
          <w:szCs w:val="21"/>
          <w:highlight w:val="none"/>
          <w:shd w:val="clear" w:color="auto" w:fill="auto"/>
        </w:rPr>
        <w:t>），无后门隐患，可根据不同的使用环境切换不同的操作系统。安全模式下操作系统接受广西壮族自治区移动办公办案管理平台进行统一认证和设备绑定，进入安全区受到保护。</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（2）NFC应用：可用于实现NFC读取身份证标识码核验身份证信息功能。</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（3）设备应用适配：可适配我单位的警务办公网络应用软件。</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（4）同时依据公安部相关文件要求，确保更高安全性，为了适应新一代移动警务的技术发展，可用于支持空中安全发证需求。</w:t>
      </w:r>
    </w:p>
    <w:p>
      <w:pPr>
        <w:pStyle w:val="20"/>
        <w:rPr>
          <w:rFonts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(5) 手机系统必须与公安部的 “空中发证”的安全证书安全加密套件或者加密卡兼容。</w:t>
      </w:r>
    </w:p>
    <w:p>
      <w:pPr>
        <w:pStyle w:val="20"/>
        <w:rPr>
          <w:rFonts w:hint="eastAsia" w:ascii="宋体" w:hAnsi="宋体" w:cs="宋体"/>
          <w:b/>
          <w:color w:val="auto"/>
          <w:sz w:val="21"/>
          <w:szCs w:val="21"/>
          <w:highlight w:val="none"/>
          <w:shd w:val="clear" w:color="auto" w:fill="auto"/>
        </w:rPr>
      </w:pPr>
      <w:r>
        <w:rPr>
          <w:rFonts w:hint="eastAsia" w:ascii="宋体" w:hAnsi="宋体" w:cs="宋体"/>
          <w:b/>
          <w:color w:val="auto"/>
          <w:sz w:val="21"/>
          <w:szCs w:val="21"/>
          <w:highlight w:val="none"/>
          <w:shd w:val="clear" w:color="auto" w:fill="auto"/>
        </w:rPr>
        <w:t>配置二（法院移动办公办案终端2）：</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采购机型的技术参数必须满足：CPU: 八核 + 海思麒麟980（双核NPU）以上；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SIM卡：双卡双待单通，主副卡不区分卡槽；卡槽1（内卡槽）、卡槽2（外卡槽）可任意切换为主卡、副卡；卡槽1（内卡槽）支持Nano SIM卡，卡槽2（外卡槽）支持Nano SIM和microSD。</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屏幕：6.53英寸；</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机身内存：128G或以上；运行内存：6GB或以上；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后置徕卡三摄：1200万像素（广角，f/1.8 光圈）+1600万像素（超广角，f/2.2 光圈）+800万像素（长焦，f/2.4 光圈），支持OIS光学防抖或以上；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前摄像头：2400万，ƒ/2.0光圈；</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电池容量：4000mAh（典型值）或以上；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主屏分辨率：2244*1080像素或以上；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系统：</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（1）操作系统：具备两个完全独立的操作系统（</w:t>
      </w:r>
      <w:r>
        <w:rPr>
          <w:rFonts w:hint="eastAsia" w:ascii="宋体" w:hAnsi="宋体" w:cs="宋体"/>
          <w:color w:val="auto"/>
          <w:sz w:val="21"/>
          <w:szCs w:val="21"/>
          <w:highlight w:val="none"/>
          <w:shd w:val="clear" w:color="auto" w:fill="auto"/>
          <w:lang w:eastAsia="zh-CN"/>
        </w:rPr>
        <w:t>分别用于个人模式和安全模式，并提供操作系统软件著作权证书产品鉴定意见报告和操作系统软件厂家授权书</w:t>
      </w:r>
      <w:r>
        <w:rPr>
          <w:rFonts w:hint="eastAsia" w:ascii="宋体" w:hAnsi="宋体" w:cs="宋体"/>
          <w:color w:val="auto"/>
          <w:sz w:val="21"/>
          <w:szCs w:val="21"/>
          <w:highlight w:val="none"/>
          <w:shd w:val="clear" w:color="auto" w:fill="auto"/>
        </w:rPr>
        <w:t>），无后门隐患，可根据不同的使用环境切换不同的操作系统。安全模式下操作系统接受广西壮族自治区移动办公办案管理平台进行统一认证和设备绑定，进入安全区受到保护。</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（2）NFC应用：可用于实现NFC读取身份证标识码核验身份证信息功能。</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（3）设备应用适配：可适配我单位的警务办公网络应用软件。</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（4）同时依据公安部相关文件要求，确保更高安全性，为了适应新一代移动警务的技术发展，可用于支持空中安全发证需求。</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(5) 手机系统必须与公安部的 “空中发证”的安全证书安全加密套件或者加密卡兼容。</w:t>
      </w:r>
    </w:p>
    <w:p>
      <w:pPr>
        <w:pStyle w:val="20"/>
        <w:rPr>
          <w:rFonts w:hint="eastAsia" w:ascii="宋体" w:hAnsi="宋体" w:cs="宋体"/>
          <w:b/>
          <w:color w:val="auto"/>
          <w:sz w:val="21"/>
          <w:szCs w:val="21"/>
          <w:highlight w:val="none"/>
          <w:shd w:val="clear" w:color="auto" w:fill="auto"/>
        </w:rPr>
      </w:pPr>
      <w:r>
        <w:rPr>
          <w:rFonts w:hint="eastAsia" w:ascii="宋体" w:hAnsi="宋体" w:cs="宋体"/>
          <w:b/>
          <w:color w:val="auto"/>
          <w:sz w:val="21"/>
          <w:szCs w:val="21"/>
          <w:highlight w:val="none"/>
          <w:shd w:val="clear" w:color="auto" w:fill="auto"/>
        </w:rPr>
        <w:t>配置三（法院移动办公办案终端3）：</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采购机型的技术参数必须满足：CPU: 八核 + 海思麒麟980（双核NPU）以上；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SIM卡：双卡双待单通，主副卡不区分卡槽；卡槽1（内卡槽）、卡槽2（外卡槽）可任意切换为主卡、副卡；卡槽1（内卡槽）支持Nano SIM卡，卡槽2（外卡槽）支持Nano SIM和microSD。</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屏幕：6.</w:t>
      </w:r>
      <w:r>
        <w:rPr>
          <w:rFonts w:hint="eastAsia" w:ascii="宋体" w:hAnsi="宋体" w:cs="宋体"/>
          <w:color w:val="auto"/>
          <w:sz w:val="21"/>
          <w:szCs w:val="21"/>
          <w:highlight w:val="none"/>
          <w:shd w:val="clear" w:color="auto" w:fill="auto"/>
          <w:lang w:val="en-US" w:eastAsia="zh-CN"/>
        </w:rPr>
        <w:t>39</w:t>
      </w:r>
      <w:r>
        <w:rPr>
          <w:rFonts w:hint="eastAsia" w:ascii="宋体" w:hAnsi="宋体" w:cs="宋体"/>
          <w:color w:val="auto"/>
          <w:sz w:val="21"/>
          <w:szCs w:val="21"/>
          <w:highlight w:val="none"/>
          <w:shd w:val="clear" w:color="auto" w:fill="auto"/>
        </w:rPr>
        <w:t>英寸；</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机身内存：128G或以上；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运行内存：6GB或以上；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后置徕卡三摄：4000万像素（广角，f/1.8光圈）+2000万像素（超广角，f/2.2光圈）+800万像素（长焦，f/2.4光圈），支持OIS光学防抖或以上；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前摄像头：2400万，ƒ/2.0光圈；</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电池容量：4200mAh（典型值）或以上；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主屏分辨率：3120×1440像素或以上；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系统：</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（1）操作系统：具备两个完全独立的操作系统（</w:t>
      </w:r>
      <w:r>
        <w:rPr>
          <w:rFonts w:hint="eastAsia" w:ascii="宋体" w:hAnsi="宋体" w:cs="宋体"/>
          <w:color w:val="auto"/>
          <w:sz w:val="21"/>
          <w:szCs w:val="21"/>
          <w:highlight w:val="none"/>
          <w:shd w:val="clear" w:color="auto" w:fill="auto"/>
          <w:lang w:eastAsia="zh-CN"/>
        </w:rPr>
        <w:t>分别用于个人模式和安全模式，并提供操作系统软件著作权证书产品鉴定意见报告和操作系统软件厂家授权书</w:t>
      </w:r>
      <w:r>
        <w:rPr>
          <w:rFonts w:hint="eastAsia" w:ascii="宋体" w:hAnsi="宋体" w:cs="宋体"/>
          <w:color w:val="auto"/>
          <w:sz w:val="21"/>
          <w:szCs w:val="21"/>
          <w:highlight w:val="none"/>
          <w:shd w:val="clear" w:color="auto" w:fill="auto"/>
        </w:rPr>
        <w:t>），无后门隐患，可根据不同的使用环境切换不同的操作系统。安全模式下操作系统接受广西壮族自治区移动办公办案管理平台进行统一认证和设备绑定，进入安全区受到保护。</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（2）NFC应用：可用于实现NFC读取身份证标识码核验身份证信息功能。</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（3）设备应用适配：可适配我单位的警务办公网络应用软件。</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（4）同时依据公安部相关文件要求，确保更高安全性，为了适应新一代移动警务的技术发展，可用于支持空中安全发证需求。</w:t>
      </w:r>
    </w:p>
    <w:p>
      <w:pPr>
        <w:pStyle w:val="20"/>
        <w:rPr>
          <w:rFonts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(5) 手机系统必须与公安部的 “空中发证”的安全证书安全加密套件或者加密卡兼容。</w:t>
      </w:r>
    </w:p>
    <w:p>
      <w:pPr>
        <w:pStyle w:val="20"/>
        <w:rPr>
          <w:rFonts w:hint="eastAsia" w:ascii="宋体" w:hAnsi="宋体" w:cs="宋体"/>
          <w:b/>
          <w:color w:val="auto"/>
          <w:sz w:val="21"/>
          <w:szCs w:val="21"/>
          <w:highlight w:val="none"/>
          <w:shd w:val="clear" w:color="auto" w:fill="auto"/>
        </w:rPr>
      </w:pPr>
      <w:r>
        <w:rPr>
          <w:rFonts w:hint="eastAsia" w:ascii="宋体" w:hAnsi="宋体" w:cs="宋体"/>
          <w:b/>
          <w:color w:val="auto"/>
          <w:sz w:val="21"/>
          <w:szCs w:val="21"/>
          <w:highlight w:val="none"/>
          <w:shd w:val="clear" w:color="auto" w:fill="auto"/>
        </w:rPr>
        <w:t>配置四（法院移动办公办案终端4）：</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采购机型的技术参数必须满足：CPU: 八核 + 海思麒麟980（双核NPU）以上；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SIM卡：双卡双待单通，主副卡不区分卡槽；卡槽1（内卡槽）、卡槽2（外卡槽）可任意切换为主卡、副卡；卡槽1（内卡槽）支持Nano SIM卡，卡槽2（外卡槽）支持Nano SIM和microSD。</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屏幕：6.</w:t>
      </w:r>
      <w:r>
        <w:rPr>
          <w:rFonts w:hint="eastAsia" w:ascii="宋体" w:hAnsi="宋体" w:cs="宋体"/>
          <w:color w:val="auto"/>
          <w:sz w:val="21"/>
          <w:szCs w:val="21"/>
          <w:highlight w:val="none"/>
          <w:shd w:val="clear" w:color="auto" w:fill="auto"/>
          <w:lang w:val="en-US" w:eastAsia="zh-CN"/>
        </w:rPr>
        <w:t>39</w:t>
      </w:r>
      <w:r>
        <w:rPr>
          <w:rFonts w:hint="eastAsia" w:ascii="宋体" w:hAnsi="宋体" w:cs="宋体"/>
          <w:color w:val="auto"/>
          <w:sz w:val="21"/>
          <w:szCs w:val="21"/>
          <w:highlight w:val="none"/>
          <w:shd w:val="clear" w:color="auto" w:fill="auto"/>
        </w:rPr>
        <w:t>英寸；</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机身内存：128G或以上；运行内存：8GB或以上；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后置徕卡三摄：4000万像素（广角，f/1.8光圈）+2000万像素（超广角，f/2.2光圈）+800万像素（长焦，f/2.4光圈），支持OIS光学防抖或以上；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前摄像头：2400万，ƒ/2.0光圈；</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电池容量：4200mAh（典型值）或以上；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主屏分辨率：3120*1440像素或以上；</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系统：</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（1）操作系统：具备两个完全独立的操作系统（分别用于个人模式和安全模式，并提供操作系统软件</w:t>
      </w:r>
      <w:r>
        <w:rPr>
          <w:rFonts w:hint="eastAsia" w:ascii="宋体" w:hAnsi="宋体" w:cs="宋体"/>
          <w:color w:val="auto"/>
          <w:sz w:val="21"/>
          <w:szCs w:val="21"/>
          <w:highlight w:val="none"/>
          <w:shd w:val="clear" w:color="auto" w:fill="auto"/>
          <w:lang w:eastAsia="zh-CN"/>
        </w:rPr>
        <w:t>著作权证书产品鉴定意见报告和</w:t>
      </w:r>
      <w:r>
        <w:rPr>
          <w:rFonts w:hint="eastAsia" w:ascii="宋体" w:hAnsi="宋体" w:cs="宋体"/>
          <w:color w:val="auto"/>
          <w:sz w:val="21"/>
          <w:szCs w:val="21"/>
          <w:highlight w:val="none"/>
          <w:shd w:val="clear" w:color="auto" w:fill="auto"/>
        </w:rPr>
        <w:t>操作系统软件</w:t>
      </w:r>
      <w:r>
        <w:rPr>
          <w:rFonts w:hint="eastAsia" w:ascii="宋体" w:hAnsi="宋体" w:cs="宋体"/>
          <w:color w:val="auto"/>
          <w:sz w:val="21"/>
          <w:szCs w:val="21"/>
          <w:highlight w:val="none"/>
          <w:shd w:val="clear" w:color="auto" w:fill="auto"/>
          <w:lang w:eastAsia="zh-CN"/>
        </w:rPr>
        <w:t>厂家授权书</w:t>
      </w:r>
      <w:r>
        <w:rPr>
          <w:rFonts w:hint="eastAsia" w:ascii="宋体" w:hAnsi="宋体" w:cs="宋体"/>
          <w:color w:val="auto"/>
          <w:sz w:val="21"/>
          <w:szCs w:val="21"/>
          <w:highlight w:val="none"/>
          <w:shd w:val="clear" w:color="auto" w:fill="auto"/>
        </w:rPr>
        <w:t>），无后门隐患，可根据不同的使用环境切换不同的操作系统。安全模式下操作系统接受广西壮族自治区移动办公办案管理平台进行统一认证和设备绑定，进入安全区受到保护。</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（2）NFC应用：可用于实现NFC读取身份证标识码核验身份证信息功能。</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（3）设备应用适配：可适配我单位的警务办公网络应用软件。</w:t>
      </w:r>
    </w:p>
    <w:p>
      <w:pPr>
        <w:pStyle w:val="20"/>
        <w:rPr>
          <w:rFonts w:hint="eastAsia" w:ascii="宋体" w:hAnsi="宋体" w:cs="宋体"/>
          <w:color w:val="auto"/>
          <w:sz w:val="21"/>
          <w:szCs w:val="21"/>
          <w:highlight w:val="none"/>
          <w:shd w:val="clear" w:color="auto" w:fill="auto"/>
        </w:rPr>
      </w:pPr>
      <w:r>
        <w:rPr>
          <w:rFonts w:hint="eastAsia" w:ascii="宋体" w:hAnsi="宋体" w:cs="宋体"/>
          <w:color w:val="auto"/>
          <w:sz w:val="21"/>
          <w:szCs w:val="21"/>
          <w:highlight w:val="none"/>
          <w:shd w:val="clear" w:color="auto" w:fill="auto"/>
        </w:rPr>
        <w:t>（4）同时依据公安部相关文件要求，确保更高安全性，为了适应新一代移动警务的技术发展，可用于支持空中安全发证需求。</w:t>
      </w:r>
    </w:p>
    <w:p>
      <w:pPr>
        <w:pStyle w:val="20"/>
        <w:rPr>
          <w:rFonts w:hint="eastAsia" w:ascii="宋体" w:hAnsi="宋体" w:cs="宋体"/>
          <w:color w:val="auto"/>
          <w:highlight w:val="none"/>
          <w:shd w:val="clear" w:color="auto" w:fill="auto"/>
        </w:rPr>
      </w:pPr>
      <w:r>
        <w:rPr>
          <w:rFonts w:hint="eastAsia" w:ascii="宋体" w:hAnsi="宋体" w:cs="宋体"/>
          <w:color w:val="auto"/>
          <w:sz w:val="21"/>
          <w:szCs w:val="21"/>
          <w:highlight w:val="none"/>
          <w:shd w:val="clear" w:color="auto" w:fill="auto"/>
        </w:rPr>
        <w:t>(5) 手机系统必须与公安部的 “空中发证”的安全证书安全加密套件或者加密卡兼容。</w:t>
      </w:r>
    </w:p>
    <w:p>
      <w:pPr>
        <w:rPr>
          <w:rFonts w:hint="eastAsia"/>
          <w:color w:val="auto"/>
          <w:highlight w:val="none"/>
        </w:rPr>
      </w:pPr>
      <w:r>
        <w:rPr>
          <w:rFonts w:hint="eastAsia" w:ascii="宋体" w:hAnsi="宋体" w:cs="宋体"/>
          <w:color w:val="auto"/>
          <w:szCs w:val="21"/>
          <w:highlight w:val="none"/>
        </w:rPr>
        <w:t>本次项目终端数量分别按配置一（15套），配置二（39套），配置三（20套），配置四（8套）提供，共计82套。</w:t>
      </w:r>
      <w:bookmarkEnd w:id="69"/>
      <w:bookmarkEnd w:id="70"/>
      <w:bookmarkEnd w:id="71"/>
      <w:bookmarkEnd w:id="72"/>
      <w:bookmarkEnd w:id="73"/>
      <w:bookmarkEnd w:id="74"/>
      <w:bookmarkEnd w:id="75"/>
      <w:bookmarkEnd w:id="76"/>
      <w:bookmarkEnd w:id="77"/>
      <w:bookmarkEnd w:id="78"/>
      <w:bookmarkEnd w:id="79"/>
      <w:bookmarkStart w:id="82" w:name="_Toc185703035"/>
      <w:bookmarkStart w:id="83" w:name="_Toc147248437"/>
      <w:bookmarkStart w:id="84" w:name="_Toc156106972"/>
      <w:bookmarkStart w:id="85" w:name="_Toc185702613"/>
      <w:bookmarkStart w:id="86" w:name="_Toc230949429"/>
      <w:bookmarkStart w:id="87" w:name="_Toc199780488"/>
      <w:bookmarkStart w:id="88" w:name="_Toc200268410"/>
      <w:bookmarkStart w:id="89" w:name="_Toc200309017"/>
      <w:bookmarkStart w:id="90" w:name="_Toc230929190"/>
      <w:bookmarkStart w:id="91" w:name="_Toc371605819"/>
      <w:bookmarkStart w:id="92" w:name="_Toc231116033"/>
      <w:bookmarkStart w:id="93" w:name="_Toc6379"/>
      <w:bookmarkStart w:id="94" w:name="_Toc29923"/>
      <w:bookmarkStart w:id="95" w:name="_Toc6618"/>
      <w:bookmarkStart w:id="96" w:name="_Toc5751"/>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6、要求提供相关的配套运行维护管理服务</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根据业务平台的规划方案及推广使用要求，在业务推广普及的过程中，中标供应商必须提供高质量的</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运维服务，使接入设备及平台能紧密配合，真正高效、稳定的运行，更好的发挥流量服务的使用效率。运</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行维护管理服务要求如下：</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（1）采购范围内的配套设备免费送货上门、免费安装调试合格.</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（2）要求使用咨询：7*24 小时响应用户电话咨询，进行流量服务设备使用指导；</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（3）要求故障处理：对影响流量服务可用性的故障或突发事件进行处置，最大化流量服务可用率、杜绝</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信息安全事件、保证流量服务应用性能；</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 xml:space="preserve">（4）维护响应：在接到采购人故障通知后 30 分钟时内响应，紧急事故 1 小时内到达现场，并免费维修 或更换缺陷零部件，若因设备故障需返厂维修在 24 小时内不能解决问题的，必须提供同类工作效果的设备作为备用。 </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 xml:space="preserve">（5）完成终端入网登记、号码变更、操作系统补丁的升级和调优工作。 </w:t>
      </w:r>
    </w:p>
    <w:p>
      <w:pPr>
        <w:pStyle w:val="20"/>
        <w:rPr>
          <w:rFonts w:hint="eastAsia" w:ascii="宋体" w:hAnsi="宋体" w:cs="宋体"/>
          <w:color w:val="auto"/>
          <w:sz w:val="21"/>
          <w:szCs w:val="21"/>
          <w:highlight w:val="none"/>
          <w:shd w:val="clear" w:color="auto" w:fill="auto"/>
          <w:lang w:val="en-US" w:eastAsia="zh-CN"/>
        </w:rPr>
      </w:pPr>
      <w:r>
        <w:rPr>
          <w:rFonts w:hint="eastAsia" w:ascii="宋体" w:hAnsi="宋体" w:cs="宋体"/>
          <w:color w:val="auto"/>
          <w:sz w:val="21"/>
          <w:szCs w:val="21"/>
          <w:highlight w:val="none"/>
          <w:shd w:val="clear" w:color="auto" w:fill="auto"/>
          <w:lang w:val="en-US" w:eastAsia="zh-CN"/>
        </w:rPr>
        <w:t>（6）遇重要特殊情况要求提供 5x8 小时的驻点服务，至少安排 1 人进行专项值班。</w:t>
      </w:r>
    </w:p>
    <w:p>
      <w:pPr>
        <w:pStyle w:val="20"/>
        <w:rPr>
          <w:rFonts w:hint="eastAsia" w:ascii="宋体" w:hAnsi="宋体" w:cs="宋体"/>
          <w:color w:val="auto"/>
          <w:sz w:val="21"/>
          <w:szCs w:val="21"/>
          <w:highlight w:val="none"/>
          <w:shd w:val="clear" w:color="auto" w:fill="auto"/>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ind w:left="0" w:leftChars="0" w:firstLine="0" w:firstLineChars="0"/>
        <w:rPr>
          <w:rFonts w:hint="eastAsia"/>
          <w:color w:val="auto"/>
          <w:highlight w:val="none"/>
        </w:rPr>
      </w:pPr>
    </w:p>
    <w:p>
      <w:pPr>
        <w:pStyle w:val="2"/>
        <w:ind w:left="0" w:leftChars="0" w:firstLine="0" w:firstLineChars="0"/>
        <w:rPr>
          <w:rFonts w:hint="eastAsia"/>
          <w:color w:val="auto"/>
          <w:highlight w:val="none"/>
        </w:rPr>
      </w:pPr>
    </w:p>
    <w:p>
      <w:pPr>
        <w:pStyle w:val="2"/>
        <w:rPr>
          <w:color w:val="auto"/>
          <w:highlight w:val="none"/>
        </w:rPr>
      </w:pPr>
    </w:p>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p>
      <w:pPr>
        <w:spacing w:line="400" w:lineRule="exact"/>
        <w:jc w:val="center"/>
        <w:rPr>
          <w:b/>
          <w:bCs/>
          <w:color w:val="auto"/>
          <w:sz w:val="28"/>
          <w:szCs w:val="28"/>
          <w:highlight w:val="none"/>
        </w:rPr>
      </w:pPr>
    </w:p>
    <w:p>
      <w:pPr>
        <w:spacing w:line="400" w:lineRule="exact"/>
        <w:jc w:val="center"/>
        <w:rPr>
          <w:b/>
          <w:bCs/>
          <w:color w:val="auto"/>
          <w:sz w:val="44"/>
          <w:szCs w:val="44"/>
          <w:highlight w:val="none"/>
        </w:rPr>
      </w:pPr>
      <w:r>
        <w:rPr>
          <w:b/>
          <w:bCs/>
          <w:color w:val="auto"/>
          <w:sz w:val="44"/>
          <w:szCs w:val="44"/>
          <w:highlight w:val="none"/>
        </w:rPr>
        <w:t>第</w:t>
      </w:r>
      <w:r>
        <w:rPr>
          <w:rFonts w:hint="eastAsia"/>
          <w:b/>
          <w:bCs/>
          <w:color w:val="auto"/>
          <w:sz w:val="44"/>
          <w:szCs w:val="44"/>
          <w:highlight w:val="none"/>
        </w:rPr>
        <w:t>五</w:t>
      </w:r>
      <w:r>
        <w:rPr>
          <w:b/>
          <w:bCs/>
          <w:color w:val="auto"/>
          <w:sz w:val="44"/>
          <w:szCs w:val="44"/>
          <w:highlight w:val="none"/>
        </w:rPr>
        <w:t>章   谈判响应文件基本格式</w:t>
      </w:r>
    </w:p>
    <w:p>
      <w:pPr>
        <w:spacing w:line="500" w:lineRule="exact"/>
        <w:jc w:val="center"/>
        <w:rPr>
          <w:rFonts w:eastAsia="仿宋_GB2312"/>
          <w:color w:val="auto"/>
          <w:sz w:val="28"/>
          <w:szCs w:val="28"/>
          <w:highlight w:val="none"/>
        </w:rPr>
      </w:pPr>
    </w:p>
    <w:p>
      <w:pPr>
        <w:spacing w:line="500" w:lineRule="exact"/>
        <w:jc w:val="center"/>
        <w:rPr>
          <w:rFonts w:eastAsia="仿宋_GB2312"/>
          <w:color w:val="auto"/>
          <w:sz w:val="28"/>
          <w:szCs w:val="28"/>
          <w:highlight w:val="none"/>
        </w:rPr>
      </w:pPr>
    </w:p>
    <w:p>
      <w:pPr>
        <w:spacing w:line="500" w:lineRule="exact"/>
        <w:jc w:val="center"/>
        <w:rPr>
          <w:rFonts w:eastAsia="仿宋_GB2312"/>
          <w:color w:val="auto"/>
          <w:sz w:val="28"/>
          <w:szCs w:val="28"/>
          <w:highlight w:val="none"/>
        </w:rPr>
      </w:pPr>
    </w:p>
    <w:p>
      <w:pPr>
        <w:spacing w:line="500" w:lineRule="exact"/>
        <w:jc w:val="center"/>
        <w:rPr>
          <w:rFonts w:eastAsia="仿宋_GB2312"/>
          <w:color w:val="auto"/>
          <w:sz w:val="28"/>
          <w:szCs w:val="28"/>
          <w:highlight w:val="none"/>
        </w:rPr>
      </w:pPr>
    </w:p>
    <w:p>
      <w:pPr>
        <w:spacing w:line="500" w:lineRule="exact"/>
        <w:jc w:val="center"/>
        <w:rPr>
          <w:rFonts w:eastAsia="仿宋_GB2312"/>
          <w:color w:val="auto"/>
          <w:sz w:val="28"/>
          <w:szCs w:val="28"/>
          <w:highlight w:val="none"/>
        </w:rPr>
      </w:pPr>
    </w:p>
    <w:p>
      <w:pPr>
        <w:spacing w:line="500" w:lineRule="exact"/>
        <w:jc w:val="center"/>
        <w:rPr>
          <w:rFonts w:eastAsia="仿宋_GB2312"/>
          <w:color w:val="auto"/>
          <w:sz w:val="28"/>
          <w:szCs w:val="28"/>
          <w:highlight w:val="none"/>
        </w:rPr>
      </w:pPr>
    </w:p>
    <w:p>
      <w:pPr>
        <w:pStyle w:val="3"/>
        <w:rPr>
          <w:color w:val="auto"/>
          <w:highlight w:val="none"/>
        </w:rPr>
      </w:pPr>
      <w:r>
        <w:rPr>
          <w:color w:val="auto"/>
          <w:highlight w:val="none"/>
        </w:rPr>
        <w:t>竞争性谈判响应文件</w:t>
      </w:r>
    </w:p>
    <w:p>
      <w:pPr>
        <w:spacing w:line="500" w:lineRule="exact"/>
        <w:jc w:val="center"/>
        <w:rPr>
          <w:rFonts w:eastAsia="仿宋_GB2312"/>
          <w:color w:val="auto"/>
          <w:sz w:val="28"/>
          <w:szCs w:val="28"/>
          <w:highlight w:val="none"/>
        </w:rPr>
      </w:pPr>
    </w:p>
    <w:p>
      <w:pPr>
        <w:spacing w:line="500" w:lineRule="exact"/>
        <w:rPr>
          <w:rFonts w:asciiTheme="minorEastAsia" w:hAnsiTheme="minorEastAsia" w:eastAsiaTheme="minorEastAsia"/>
          <w:color w:val="auto"/>
          <w:sz w:val="28"/>
          <w:szCs w:val="28"/>
          <w:highlight w:val="none"/>
          <w:u w:val="single"/>
        </w:rPr>
      </w:pPr>
      <w:r>
        <w:rPr>
          <w:rFonts w:eastAsia="仿宋_GB2312"/>
          <w:color w:val="auto"/>
          <w:sz w:val="28"/>
          <w:szCs w:val="28"/>
          <w:highlight w:val="none"/>
        </w:rPr>
        <w:t xml:space="preserve">   </w:t>
      </w:r>
      <w:r>
        <w:rPr>
          <w:rFonts w:asciiTheme="minorEastAsia" w:hAnsiTheme="minorEastAsia" w:eastAsiaTheme="minorEastAsia"/>
          <w:color w:val="auto"/>
          <w:sz w:val="28"/>
          <w:szCs w:val="28"/>
          <w:highlight w:val="none"/>
        </w:rPr>
        <w:t xml:space="preserve"> 采购项目编号：</w:t>
      </w:r>
      <w:r>
        <w:rPr>
          <w:rFonts w:asciiTheme="minorEastAsia" w:hAnsiTheme="minorEastAsia" w:eastAsiaTheme="minorEastAsia"/>
          <w:color w:val="auto"/>
          <w:sz w:val="28"/>
          <w:szCs w:val="28"/>
          <w:highlight w:val="none"/>
          <w:u w:val="single"/>
        </w:rPr>
        <w:t xml:space="preserve">                       </w:t>
      </w:r>
    </w:p>
    <w:p>
      <w:pPr>
        <w:tabs>
          <w:tab w:val="left" w:pos="3240"/>
        </w:tabs>
        <w:spacing w:line="500" w:lineRule="exact"/>
        <w:ind w:firstLine="560" w:firstLineChars="200"/>
        <w:rPr>
          <w:rFonts w:asciiTheme="minorEastAsia" w:hAnsiTheme="minorEastAsia" w:eastAsiaTheme="minorEastAsia"/>
          <w:color w:val="auto"/>
          <w:sz w:val="28"/>
          <w:szCs w:val="28"/>
          <w:highlight w:val="none"/>
          <w:u w:val="single"/>
        </w:rPr>
      </w:pPr>
      <w:r>
        <w:rPr>
          <w:rFonts w:asciiTheme="minorEastAsia" w:hAnsiTheme="minorEastAsia" w:eastAsiaTheme="minorEastAsia"/>
          <w:color w:val="auto"/>
          <w:sz w:val="28"/>
          <w:szCs w:val="28"/>
          <w:highlight w:val="none"/>
        </w:rPr>
        <w:t>采购项目名称：</w:t>
      </w:r>
      <w:r>
        <w:rPr>
          <w:rFonts w:asciiTheme="minorEastAsia" w:hAnsiTheme="minorEastAsia" w:eastAsiaTheme="minorEastAsia"/>
          <w:color w:val="auto"/>
          <w:sz w:val="28"/>
          <w:szCs w:val="28"/>
          <w:highlight w:val="none"/>
          <w:u w:val="single"/>
        </w:rPr>
        <w:t xml:space="preserve">                       </w:t>
      </w:r>
    </w:p>
    <w:p>
      <w:pPr>
        <w:spacing w:line="500" w:lineRule="exact"/>
        <w:ind w:firstLine="560" w:firstLineChars="200"/>
        <w:rPr>
          <w:rFonts w:asciiTheme="minorEastAsia" w:hAnsiTheme="minorEastAsia" w:eastAsiaTheme="minorEastAsia"/>
          <w:color w:val="auto"/>
          <w:sz w:val="28"/>
          <w:szCs w:val="28"/>
          <w:highlight w:val="none"/>
          <w:u w:val="single"/>
        </w:rPr>
      </w:pPr>
      <w:r>
        <w:rPr>
          <w:rFonts w:asciiTheme="minorEastAsia" w:hAnsiTheme="minorEastAsia" w:eastAsiaTheme="minorEastAsia"/>
          <w:color w:val="auto"/>
          <w:sz w:val="28"/>
          <w:szCs w:val="28"/>
          <w:highlight w:val="none"/>
        </w:rPr>
        <w:t xml:space="preserve">标    项： </w:t>
      </w:r>
      <w:r>
        <w:rPr>
          <w:rFonts w:asciiTheme="minorEastAsia" w:hAnsiTheme="minorEastAsia" w:eastAsiaTheme="minorEastAsia"/>
          <w:color w:val="auto"/>
          <w:sz w:val="28"/>
          <w:szCs w:val="28"/>
          <w:highlight w:val="none"/>
          <w:u w:val="single"/>
        </w:rPr>
        <w:t xml:space="preserve">                          </w:t>
      </w:r>
    </w:p>
    <w:p>
      <w:pPr>
        <w:spacing w:line="500" w:lineRule="exact"/>
        <w:ind w:firstLine="560" w:firstLineChars="200"/>
        <w:rPr>
          <w:rFonts w:asciiTheme="minorEastAsia" w:hAnsiTheme="minorEastAsia" w:eastAsiaTheme="minorEastAsia"/>
          <w:color w:val="auto"/>
          <w:sz w:val="28"/>
          <w:szCs w:val="28"/>
          <w:highlight w:val="none"/>
          <w:u w:val="single"/>
        </w:rPr>
      </w:pPr>
      <w:r>
        <w:rPr>
          <w:rFonts w:asciiTheme="minorEastAsia" w:hAnsiTheme="minorEastAsia" w:eastAsiaTheme="minorEastAsia"/>
          <w:color w:val="auto"/>
          <w:sz w:val="28"/>
          <w:szCs w:val="28"/>
          <w:highlight w:val="none"/>
        </w:rPr>
        <w:t>谈判内容：</w:t>
      </w:r>
      <w:r>
        <w:rPr>
          <w:rFonts w:asciiTheme="minorEastAsia" w:hAnsiTheme="minorEastAsia" w:eastAsiaTheme="minorEastAsia"/>
          <w:color w:val="auto"/>
          <w:sz w:val="28"/>
          <w:szCs w:val="28"/>
          <w:highlight w:val="none"/>
          <w:u w:val="single"/>
        </w:rPr>
        <w:t xml:space="preserve">                           </w:t>
      </w:r>
    </w:p>
    <w:p>
      <w:pPr>
        <w:tabs>
          <w:tab w:val="left" w:pos="2625"/>
        </w:tabs>
        <w:spacing w:line="500" w:lineRule="exact"/>
        <w:jc w:val="center"/>
        <w:rPr>
          <w:rFonts w:asciiTheme="minorEastAsia" w:hAnsiTheme="minorEastAsia" w:eastAsiaTheme="minorEastAsia"/>
          <w:color w:val="auto"/>
          <w:sz w:val="28"/>
          <w:szCs w:val="28"/>
          <w:highlight w:val="none"/>
        </w:rPr>
      </w:pPr>
    </w:p>
    <w:p>
      <w:pPr>
        <w:tabs>
          <w:tab w:val="left" w:pos="2625"/>
        </w:tabs>
        <w:spacing w:line="500" w:lineRule="exact"/>
        <w:jc w:val="center"/>
        <w:rPr>
          <w:rFonts w:asciiTheme="minorEastAsia" w:hAnsiTheme="minorEastAsia" w:eastAsiaTheme="minorEastAsia"/>
          <w:color w:val="auto"/>
          <w:sz w:val="28"/>
          <w:szCs w:val="28"/>
          <w:highlight w:val="none"/>
        </w:rPr>
      </w:pPr>
    </w:p>
    <w:p>
      <w:pPr>
        <w:spacing w:line="500" w:lineRule="exact"/>
        <w:jc w:val="center"/>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 xml:space="preserve">                                        （谈判供应商名称）</w:t>
      </w:r>
    </w:p>
    <w:p>
      <w:pPr>
        <w:spacing w:line="500" w:lineRule="exact"/>
        <w:ind w:firstLine="6440" w:firstLineChars="2300"/>
        <w:rPr>
          <w:rFonts w:asciiTheme="minorEastAsia" w:hAnsiTheme="minorEastAsia" w:eastAsiaTheme="minorEastAsia"/>
          <w:color w:val="auto"/>
          <w:sz w:val="28"/>
          <w:szCs w:val="28"/>
          <w:highlight w:val="none"/>
        </w:rPr>
      </w:pPr>
      <w:r>
        <w:rPr>
          <w:rFonts w:asciiTheme="minorEastAsia" w:hAnsiTheme="minorEastAsia" w:eastAsiaTheme="minorEastAsia"/>
          <w:color w:val="auto"/>
          <w:sz w:val="28"/>
          <w:szCs w:val="28"/>
          <w:highlight w:val="none"/>
        </w:rPr>
        <w:t>年    月    日</w:t>
      </w:r>
    </w:p>
    <w:p>
      <w:pPr>
        <w:spacing w:line="320" w:lineRule="exact"/>
        <w:rPr>
          <w:rFonts w:eastAsia="仿宋_GB2312"/>
          <w:color w:val="auto"/>
          <w:szCs w:val="21"/>
          <w:highlight w:val="none"/>
        </w:rPr>
      </w:pPr>
    </w:p>
    <w:p>
      <w:pPr>
        <w:spacing w:line="320" w:lineRule="exact"/>
        <w:rPr>
          <w:rFonts w:eastAsia="仿宋_GB2312"/>
          <w:color w:val="auto"/>
          <w:szCs w:val="21"/>
          <w:highlight w:val="none"/>
        </w:rPr>
      </w:pPr>
    </w:p>
    <w:p>
      <w:pPr>
        <w:spacing w:line="320" w:lineRule="exact"/>
        <w:rPr>
          <w:rFonts w:eastAsia="仿宋_GB2312"/>
          <w:color w:val="auto"/>
          <w:szCs w:val="21"/>
          <w:highlight w:val="none"/>
        </w:rPr>
      </w:pPr>
    </w:p>
    <w:p>
      <w:pPr>
        <w:spacing w:line="320" w:lineRule="exact"/>
        <w:rPr>
          <w:rFonts w:eastAsia="仿宋_GB2312"/>
          <w:color w:val="auto"/>
          <w:szCs w:val="21"/>
          <w:highlight w:val="none"/>
        </w:rPr>
      </w:pPr>
    </w:p>
    <w:p>
      <w:pPr>
        <w:spacing w:line="320" w:lineRule="exact"/>
        <w:rPr>
          <w:rFonts w:eastAsia="仿宋_GB2312"/>
          <w:color w:val="auto"/>
          <w:szCs w:val="21"/>
          <w:highlight w:val="none"/>
        </w:rPr>
      </w:pPr>
    </w:p>
    <w:p>
      <w:pPr>
        <w:spacing w:line="320" w:lineRule="exact"/>
        <w:rPr>
          <w:rFonts w:eastAsia="仿宋_GB2312"/>
          <w:color w:val="auto"/>
          <w:szCs w:val="21"/>
          <w:highlight w:val="none"/>
        </w:rPr>
      </w:pPr>
    </w:p>
    <w:p>
      <w:pPr>
        <w:spacing w:line="320" w:lineRule="exact"/>
        <w:rPr>
          <w:rFonts w:eastAsia="仿宋_GB2312"/>
          <w:color w:val="auto"/>
          <w:szCs w:val="21"/>
          <w:highlight w:val="none"/>
        </w:rPr>
      </w:pPr>
    </w:p>
    <w:p>
      <w:pPr>
        <w:spacing w:line="320" w:lineRule="exact"/>
        <w:rPr>
          <w:rFonts w:hint="eastAsia" w:eastAsia="仿宋_GB2312"/>
          <w:color w:val="auto"/>
          <w:szCs w:val="21"/>
          <w:highlight w:val="none"/>
        </w:rPr>
      </w:pPr>
    </w:p>
    <w:p>
      <w:pPr>
        <w:spacing w:line="320" w:lineRule="exact"/>
        <w:rPr>
          <w:rFonts w:eastAsia="仿宋_GB2312"/>
          <w:color w:val="auto"/>
          <w:szCs w:val="21"/>
          <w:highlight w:val="none"/>
        </w:rPr>
      </w:pPr>
    </w:p>
    <w:p>
      <w:pPr>
        <w:spacing w:line="520" w:lineRule="exact"/>
        <w:rPr>
          <w:rFonts w:asciiTheme="majorEastAsia" w:hAnsiTheme="majorEastAsia" w:eastAsiaTheme="majorEastAsia"/>
          <w:color w:val="auto"/>
          <w:sz w:val="28"/>
          <w:szCs w:val="28"/>
          <w:highlight w:val="none"/>
        </w:rPr>
      </w:pPr>
    </w:p>
    <w:p>
      <w:pPr>
        <w:spacing w:line="520" w:lineRule="exact"/>
        <w:rPr>
          <w:rFonts w:asciiTheme="majorEastAsia" w:hAnsiTheme="majorEastAsia" w:eastAsiaTheme="majorEastAsia"/>
          <w:color w:val="auto"/>
          <w:sz w:val="28"/>
          <w:szCs w:val="28"/>
          <w:highlight w:val="none"/>
        </w:rPr>
      </w:pPr>
    </w:p>
    <w:p>
      <w:pPr>
        <w:spacing w:line="520" w:lineRule="exact"/>
        <w:rPr>
          <w:rFonts w:asciiTheme="majorEastAsia" w:hAnsiTheme="majorEastAsia" w:eastAsiaTheme="majorEastAsia"/>
          <w:color w:val="auto"/>
          <w:sz w:val="28"/>
          <w:szCs w:val="28"/>
          <w:highlight w:val="none"/>
        </w:rPr>
      </w:pPr>
    </w:p>
    <w:p>
      <w:pPr>
        <w:spacing w:line="520" w:lineRule="exact"/>
        <w:rPr>
          <w:rFonts w:asciiTheme="majorEastAsia" w:hAnsiTheme="majorEastAsia" w:eastAsiaTheme="majorEastAsia"/>
          <w:color w:val="auto"/>
          <w:sz w:val="28"/>
          <w:szCs w:val="28"/>
          <w:highlight w:val="none"/>
        </w:rPr>
      </w:pPr>
      <w:r>
        <w:rPr>
          <w:rFonts w:asciiTheme="majorEastAsia" w:hAnsiTheme="majorEastAsia" w:eastAsiaTheme="majorEastAsia"/>
          <w:color w:val="auto"/>
          <w:sz w:val="28"/>
          <w:szCs w:val="28"/>
          <w:highlight w:val="none"/>
        </w:rPr>
        <w:t xml:space="preserve">附件一 </w:t>
      </w:r>
    </w:p>
    <w:p>
      <w:pPr>
        <w:spacing w:line="520" w:lineRule="exact"/>
        <w:jc w:val="center"/>
        <w:rPr>
          <w:rFonts w:asciiTheme="majorEastAsia" w:hAnsiTheme="majorEastAsia" w:eastAsiaTheme="majorEastAsia"/>
          <w:b/>
          <w:color w:val="auto"/>
          <w:sz w:val="32"/>
          <w:szCs w:val="32"/>
          <w:highlight w:val="none"/>
        </w:rPr>
      </w:pPr>
      <w:r>
        <w:rPr>
          <w:rFonts w:asciiTheme="majorEastAsia" w:hAnsiTheme="majorEastAsia" w:eastAsiaTheme="majorEastAsia"/>
          <w:b/>
          <w:color w:val="auto"/>
          <w:sz w:val="32"/>
          <w:szCs w:val="32"/>
          <w:highlight w:val="none"/>
        </w:rPr>
        <w:t>谈  判  书</w:t>
      </w:r>
    </w:p>
    <w:p>
      <w:pPr>
        <w:spacing w:line="520" w:lineRule="exact"/>
        <w:jc w:val="center"/>
        <w:rPr>
          <w:rFonts w:eastAsia="仿宋_GB2312"/>
          <w:b/>
          <w:color w:val="auto"/>
          <w:sz w:val="28"/>
          <w:szCs w:val="28"/>
          <w:highlight w:val="none"/>
        </w:rPr>
      </w:pPr>
    </w:p>
    <w:p>
      <w:pPr>
        <w:pStyle w:val="9"/>
        <w:spacing w:line="520" w:lineRule="exact"/>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u w:val="single"/>
        </w:rPr>
        <w:t>广西祥立工程咨询有限责任公司</w:t>
      </w:r>
      <w:r>
        <w:rPr>
          <w:rFonts w:asciiTheme="minorEastAsia" w:hAnsiTheme="minorEastAsia" w:eastAsiaTheme="minorEastAsia"/>
          <w:color w:val="auto"/>
          <w:sz w:val="24"/>
          <w:szCs w:val="24"/>
          <w:highlight w:val="none"/>
        </w:rPr>
        <w:t>：</w:t>
      </w:r>
    </w:p>
    <w:p>
      <w:pPr>
        <w:pStyle w:val="9"/>
        <w:spacing w:line="520" w:lineRule="exact"/>
        <w:ind w:firstLine="480"/>
        <w:rPr>
          <w:rFonts w:asciiTheme="minorEastAsia" w:hAnsiTheme="minorEastAsia" w:eastAsiaTheme="minorEastAsia"/>
          <w:color w:val="auto"/>
          <w:sz w:val="24"/>
          <w:szCs w:val="24"/>
          <w:highlight w:val="none"/>
          <w:u w:val="single"/>
        </w:rPr>
      </w:pPr>
      <w:r>
        <w:rPr>
          <w:rFonts w:asciiTheme="minorEastAsia" w:hAnsiTheme="minorEastAsia" w:eastAsiaTheme="minorEastAsia"/>
          <w:color w:val="auto"/>
          <w:sz w:val="24"/>
          <w:szCs w:val="24"/>
          <w:highlight w:val="none"/>
        </w:rPr>
        <w:t>依据贵方</w:t>
      </w:r>
      <w:r>
        <w:rPr>
          <w:rFonts w:hint="eastAsia" w:asciiTheme="minorEastAsia" w:hAnsiTheme="minorEastAsia" w:eastAsiaTheme="minorEastAsia"/>
          <w:color w:val="auto"/>
          <w:sz w:val="24"/>
          <w:szCs w:val="24"/>
          <w:highlight w:val="none"/>
          <w:u w:val="single"/>
        </w:rPr>
        <w:t>法院移动办公办案终端及基础数据流量租用服务采购项目</w:t>
      </w:r>
      <w:r>
        <w:rPr>
          <w:rFonts w:asciiTheme="minorEastAsia" w:hAnsiTheme="minorEastAsia" w:eastAsiaTheme="minorEastAsia"/>
          <w:color w:val="auto"/>
          <w:sz w:val="24"/>
          <w:szCs w:val="24"/>
          <w:highlight w:val="none"/>
          <w:u w:val="single"/>
        </w:rPr>
        <w:t>（</w:t>
      </w:r>
      <w:r>
        <w:rPr>
          <w:rFonts w:hint="eastAsia" w:asciiTheme="minorEastAsia" w:hAnsiTheme="minorEastAsia" w:eastAsiaTheme="minorEastAsia"/>
          <w:color w:val="auto"/>
          <w:sz w:val="24"/>
          <w:szCs w:val="24"/>
          <w:highlight w:val="none"/>
          <w:u w:val="single"/>
        </w:rPr>
        <w:t>HCZC2019-J3-50001-GXXL</w:t>
      </w:r>
      <w:r>
        <w:rPr>
          <w:rFonts w:asciiTheme="minorEastAsia" w:hAnsiTheme="minorEastAsia" w:eastAsiaTheme="minorEastAsia"/>
          <w:color w:val="auto"/>
          <w:sz w:val="24"/>
          <w:szCs w:val="24"/>
          <w:highlight w:val="none"/>
          <w:u w:val="single"/>
        </w:rPr>
        <w:t>）</w:t>
      </w:r>
      <w:r>
        <w:rPr>
          <w:rFonts w:asciiTheme="minorEastAsia" w:hAnsiTheme="minorEastAsia" w:eastAsiaTheme="minorEastAsia"/>
          <w:color w:val="auto"/>
          <w:sz w:val="24"/>
          <w:szCs w:val="24"/>
          <w:highlight w:val="none"/>
        </w:rPr>
        <w:t>项目政府采购的谈判邀请，我方</w:t>
      </w:r>
      <w:r>
        <w:rPr>
          <w:rFonts w:asciiTheme="minorEastAsia" w:hAnsiTheme="minorEastAsia" w:eastAsiaTheme="minorEastAsia"/>
          <w:color w:val="auto"/>
          <w:sz w:val="24"/>
          <w:szCs w:val="24"/>
          <w:highlight w:val="none"/>
          <w:u w:val="single"/>
        </w:rPr>
        <w:t>（姓名和职务）</w:t>
      </w:r>
      <w:r>
        <w:rPr>
          <w:rFonts w:asciiTheme="minorEastAsia" w:hAnsiTheme="minorEastAsia" w:eastAsiaTheme="minorEastAsia"/>
          <w:color w:val="auto"/>
          <w:sz w:val="24"/>
          <w:szCs w:val="24"/>
          <w:highlight w:val="none"/>
        </w:rPr>
        <w:t>经正式授权并代表谈判供应商</w:t>
      </w:r>
      <w:r>
        <w:rPr>
          <w:rFonts w:asciiTheme="minorEastAsia" w:hAnsiTheme="minorEastAsia" w:eastAsiaTheme="minorEastAsia"/>
          <w:color w:val="auto"/>
          <w:sz w:val="24"/>
          <w:szCs w:val="24"/>
          <w:highlight w:val="none"/>
          <w:u w:val="single"/>
        </w:rPr>
        <w:t>（谈判供应商名称、地址）</w:t>
      </w:r>
      <w:r>
        <w:rPr>
          <w:rFonts w:asciiTheme="minorEastAsia" w:hAnsiTheme="minorEastAsia" w:eastAsiaTheme="minorEastAsia"/>
          <w:color w:val="auto"/>
          <w:sz w:val="24"/>
          <w:szCs w:val="24"/>
          <w:highlight w:val="none"/>
        </w:rPr>
        <w:t>提交下述竞争性谈判响应文件价格文件正本一份</w:t>
      </w:r>
      <w:r>
        <w:rPr>
          <w:rFonts w:hint="eastAsia" w:asciiTheme="minorEastAsia" w:hAnsiTheme="minorEastAsia" w:eastAsiaTheme="minorEastAsia"/>
          <w:color w:val="auto"/>
          <w:sz w:val="24"/>
          <w:szCs w:val="24"/>
          <w:highlight w:val="none"/>
        </w:rPr>
        <w:t>和副本三份</w:t>
      </w:r>
      <w:r>
        <w:rPr>
          <w:rFonts w:asciiTheme="minorEastAsia" w:hAnsiTheme="minorEastAsia" w:eastAsiaTheme="minorEastAsia"/>
          <w:color w:val="auto"/>
          <w:sz w:val="24"/>
          <w:szCs w:val="24"/>
          <w:highlight w:val="none"/>
        </w:rPr>
        <w:t>，商务技术文件正本一份和副本三份。</w:t>
      </w:r>
    </w:p>
    <w:p>
      <w:pPr>
        <w:pStyle w:val="9"/>
        <w:spacing w:line="520" w:lineRule="exact"/>
        <w:ind w:firstLine="48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1. 报价表；</w:t>
      </w:r>
    </w:p>
    <w:p>
      <w:pPr>
        <w:pStyle w:val="9"/>
        <w:spacing w:line="520" w:lineRule="exact"/>
        <w:ind w:firstLine="48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2. 分项报价表</w:t>
      </w:r>
      <w:r>
        <w:rPr>
          <w:rFonts w:hint="eastAsia" w:asciiTheme="minorEastAsia" w:hAnsiTheme="minorEastAsia" w:eastAsiaTheme="minorEastAsia"/>
          <w:color w:val="auto"/>
          <w:sz w:val="24"/>
          <w:szCs w:val="24"/>
          <w:highlight w:val="none"/>
          <w:lang w:eastAsia="zh-CN"/>
        </w:rPr>
        <w:t>（如有）</w:t>
      </w:r>
      <w:r>
        <w:rPr>
          <w:rFonts w:asciiTheme="minorEastAsia" w:hAnsiTheme="minorEastAsia" w:eastAsiaTheme="minorEastAsia"/>
          <w:color w:val="auto"/>
          <w:sz w:val="24"/>
          <w:szCs w:val="24"/>
          <w:highlight w:val="none"/>
        </w:rPr>
        <w:t>；</w:t>
      </w:r>
    </w:p>
    <w:p>
      <w:pPr>
        <w:pStyle w:val="9"/>
        <w:spacing w:line="520" w:lineRule="exact"/>
        <w:ind w:firstLine="48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3. 技术规格响应、偏离情况说明表；</w:t>
      </w:r>
    </w:p>
    <w:p>
      <w:pPr>
        <w:pStyle w:val="9"/>
        <w:spacing w:line="520" w:lineRule="exact"/>
        <w:ind w:firstLine="48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4. 按竞争性谈判文件谈判须知和技术规格要求提供的有关文件；</w:t>
      </w:r>
    </w:p>
    <w:p>
      <w:pPr>
        <w:pStyle w:val="9"/>
        <w:spacing w:line="520" w:lineRule="exact"/>
        <w:ind w:firstLine="48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5. 资格证明文件；</w:t>
      </w:r>
    </w:p>
    <w:p>
      <w:pPr>
        <w:pStyle w:val="9"/>
        <w:spacing w:line="520" w:lineRule="exact"/>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在此，授权代表宣布同意如下：</w:t>
      </w:r>
    </w:p>
    <w:p>
      <w:pPr>
        <w:pStyle w:val="9"/>
        <w:spacing w:line="520" w:lineRule="exact"/>
        <w:ind w:firstLine="48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1. 将按竞争性谈判文件的约定履行合同责任和义务；</w:t>
      </w:r>
    </w:p>
    <w:p>
      <w:pPr>
        <w:pStyle w:val="9"/>
        <w:spacing w:line="520" w:lineRule="exact"/>
        <w:ind w:left="840" w:hanging="36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2. 已详细审查全部竞争性谈判文件，包括</w:t>
      </w:r>
      <w:r>
        <w:rPr>
          <w:rFonts w:asciiTheme="minorEastAsia" w:hAnsiTheme="minorEastAsia" w:eastAsiaTheme="minorEastAsia"/>
          <w:color w:val="auto"/>
          <w:sz w:val="24"/>
          <w:szCs w:val="24"/>
          <w:highlight w:val="none"/>
          <w:u w:val="single"/>
        </w:rPr>
        <w:t>（补遗书）（如果有的话）</w:t>
      </w:r>
      <w:r>
        <w:rPr>
          <w:rFonts w:asciiTheme="minorEastAsia" w:hAnsiTheme="minorEastAsia" w:eastAsiaTheme="minorEastAsia"/>
          <w:color w:val="auto"/>
          <w:sz w:val="24"/>
          <w:szCs w:val="24"/>
          <w:highlight w:val="none"/>
        </w:rPr>
        <w:t>；我们完全理解并同意放弃对这方面有不明及误解的权力；</w:t>
      </w:r>
    </w:p>
    <w:p>
      <w:pPr>
        <w:pStyle w:val="9"/>
        <w:spacing w:line="520" w:lineRule="exact"/>
        <w:ind w:left="840" w:hanging="36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3. 同意提供按照贵方可能要求的与其谈判有关的一切数据或资料；</w:t>
      </w:r>
    </w:p>
    <w:p>
      <w:pPr>
        <w:pStyle w:val="9"/>
        <w:spacing w:line="520" w:lineRule="exact"/>
        <w:ind w:firstLine="480"/>
        <w:rPr>
          <w:rFonts w:asciiTheme="minorEastAsia" w:hAnsiTheme="minorEastAsia" w:eastAsiaTheme="minorEastAsia"/>
          <w:color w:val="auto"/>
          <w:sz w:val="24"/>
          <w:szCs w:val="24"/>
          <w:highlight w:val="none"/>
          <w:u w:val="single"/>
        </w:rPr>
      </w:pPr>
      <w:r>
        <w:rPr>
          <w:rFonts w:asciiTheme="minorEastAsia" w:hAnsiTheme="minorEastAsia" w:eastAsiaTheme="minorEastAsia"/>
          <w:color w:val="auto"/>
          <w:sz w:val="24"/>
          <w:szCs w:val="24"/>
          <w:highlight w:val="none"/>
        </w:rPr>
        <w:t>4. 与本谈判有关的一切正式往来信函请寄：</w:t>
      </w:r>
      <w:r>
        <w:rPr>
          <w:rFonts w:asciiTheme="minorEastAsia" w:hAnsiTheme="minorEastAsia" w:eastAsiaTheme="minorEastAsia"/>
          <w:color w:val="auto"/>
          <w:sz w:val="24"/>
          <w:szCs w:val="24"/>
          <w:highlight w:val="none"/>
          <w:u w:val="single"/>
        </w:rPr>
        <w:t xml:space="preserve">                       </w:t>
      </w:r>
    </w:p>
    <w:p>
      <w:pPr>
        <w:pStyle w:val="9"/>
        <w:spacing w:line="520" w:lineRule="exact"/>
        <w:ind w:firstLine="84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电话/传真：</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 xml:space="preserve"> 电子函件：</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 xml:space="preserve">              </w:t>
      </w:r>
    </w:p>
    <w:p>
      <w:pPr>
        <w:pStyle w:val="9"/>
        <w:spacing w:line="520" w:lineRule="exact"/>
        <w:ind w:firstLine="840"/>
        <w:rPr>
          <w:rFonts w:asciiTheme="minorEastAsia" w:hAnsiTheme="minorEastAsia" w:eastAsiaTheme="minorEastAsia"/>
          <w:color w:val="auto"/>
          <w:sz w:val="24"/>
          <w:szCs w:val="24"/>
          <w:highlight w:val="none"/>
          <w:u w:val="single"/>
        </w:rPr>
      </w:pPr>
      <w:r>
        <w:rPr>
          <w:rFonts w:asciiTheme="minorEastAsia" w:hAnsiTheme="minorEastAsia" w:eastAsiaTheme="minorEastAsia"/>
          <w:color w:val="auto"/>
          <w:sz w:val="24"/>
          <w:szCs w:val="24"/>
          <w:highlight w:val="none"/>
        </w:rPr>
        <w:t>日期：</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年</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月</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日</w:t>
      </w:r>
    </w:p>
    <w:p>
      <w:pPr>
        <w:pStyle w:val="9"/>
        <w:spacing w:line="520" w:lineRule="exact"/>
        <w:ind w:firstLine="840"/>
        <w:rPr>
          <w:rFonts w:asciiTheme="minorEastAsia" w:hAnsiTheme="minorEastAsia" w:eastAsiaTheme="minorEastAsia"/>
          <w:color w:val="auto"/>
          <w:sz w:val="24"/>
          <w:szCs w:val="24"/>
          <w:highlight w:val="none"/>
          <w:u w:val="single"/>
        </w:rPr>
      </w:pPr>
      <w:r>
        <w:rPr>
          <w:rFonts w:hint="eastAsia" w:asciiTheme="minorEastAsia" w:hAnsiTheme="minorEastAsia" w:eastAsiaTheme="minorEastAsia"/>
          <w:color w:val="auto"/>
          <w:sz w:val="24"/>
          <w:szCs w:val="24"/>
          <w:highlight w:val="none"/>
          <w:lang w:eastAsia="zh-CN"/>
        </w:rPr>
        <w:t>法定代表人或负责人</w:t>
      </w:r>
      <w:r>
        <w:rPr>
          <w:rFonts w:asciiTheme="minorEastAsia" w:hAnsiTheme="minorEastAsia" w:eastAsiaTheme="minorEastAsia"/>
          <w:color w:val="auto"/>
          <w:sz w:val="24"/>
          <w:szCs w:val="24"/>
          <w:highlight w:val="none"/>
        </w:rPr>
        <w:t>、</w:t>
      </w:r>
      <w:r>
        <w:rPr>
          <w:rFonts w:hint="eastAsia" w:asciiTheme="minorEastAsia" w:hAnsiTheme="minorEastAsia" w:eastAsiaTheme="minorEastAsia"/>
          <w:color w:val="auto"/>
          <w:sz w:val="24"/>
          <w:szCs w:val="24"/>
          <w:highlight w:val="none"/>
          <w:lang w:eastAsia="zh-CN"/>
        </w:rPr>
        <w:t>法定代表人或负责人</w:t>
      </w:r>
      <w:r>
        <w:rPr>
          <w:rFonts w:asciiTheme="minorEastAsia" w:hAnsiTheme="minorEastAsia" w:eastAsiaTheme="minorEastAsia"/>
          <w:color w:val="auto"/>
          <w:sz w:val="24"/>
          <w:szCs w:val="24"/>
          <w:highlight w:val="none"/>
        </w:rPr>
        <w:t>授权代表签字：</w:t>
      </w:r>
      <w:r>
        <w:rPr>
          <w:rFonts w:asciiTheme="minorEastAsia" w:hAnsiTheme="minorEastAsia" w:eastAsiaTheme="minorEastAsia"/>
          <w:color w:val="auto"/>
          <w:sz w:val="24"/>
          <w:szCs w:val="24"/>
          <w:highlight w:val="none"/>
          <w:u w:val="single"/>
        </w:rPr>
        <w:t xml:space="preserve">                       </w:t>
      </w:r>
    </w:p>
    <w:p>
      <w:pPr>
        <w:pStyle w:val="9"/>
        <w:spacing w:line="520" w:lineRule="exact"/>
        <w:ind w:firstLine="84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谈判供应商名称（签章）：</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 xml:space="preserve">                           </w:t>
      </w:r>
    </w:p>
    <w:p>
      <w:pPr>
        <w:pStyle w:val="9"/>
        <w:spacing w:line="520" w:lineRule="exact"/>
        <w:ind w:firstLine="840"/>
        <w:rPr>
          <w:rFonts w:ascii="Times New Roman" w:hAnsi="Times New Roman" w:eastAsia="仿宋_GB2312"/>
          <w:color w:val="auto"/>
          <w:sz w:val="24"/>
          <w:szCs w:val="24"/>
          <w:highlight w:val="none"/>
        </w:rPr>
      </w:pPr>
      <w:r>
        <w:rPr>
          <w:rFonts w:asciiTheme="minorEastAsia" w:hAnsiTheme="minorEastAsia" w:eastAsiaTheme="minorEastAsia"/>
          <w:color w:val="auto"/>
          <w:sz w:val="24"/>
          <w:szCs w:val="24"/>
          <w:highlight w:val="none"/>
        </w:rPr>
        <w:t>开户银行：</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 xml:space="preserve">  帐号/行号：</w:t>
      </w:r>
      <w:r>
        <w:rPr>
          <w:rFonts w:asciiTheme="minorEastAsia" w:hAnsiTheme="minorEastAsia" w:eastAsiaTheme="minorEastAsia"/>
          <w:color w:val="auto"/>
          <w:sz w:val="24"/>
          <w:szCs w:val="24"/>
          <w:highlight w:val="none"/>
          <w:u w:val="single"/>
        </w:rPr>
        <w:t xml:space="preserve">           </w:t>
      </w:r>
      <w:r>
        <w:rPr>
          <w:rFonts w:asciiTheme="minorEastAsia" w:hAnsiTheme="minorEastAsia" w:eastAsiaTheme="minorEastAsia"/>
          <w:color w:val="auto"/>
          <w:sz w:val="24"/>
          <w:szCs w:val="24"/>
          <w:highlight w:val="none"/>
        </w:rPr>
        <w:t xml:space="preserve"> </w:t>
      </w:r>
      <w:r>
        <w:rPr>
          <w:rFonts w:ascii="Times New Roman" w:hAnsi="Times New Roman" w:eastAsia="仿宋_GB2312"/>
          <w:color w:val="auto"/>
          <w:sz w:val="24"/>
          <w:szCs w:val="24"/>
          <w:highlight w:val="none"/>
        </w:rPr>
        <w:t xml:space="preserve">                    </w:t>
      </w:r>
    </w:p>
    <w:p>
      <w:pPr>
        <w:spacing w:line="360" w:lineRule="exact"/>
        <w:rPr>
          <w:rFonts w:eastAsia="仿宋_GB2312"/>
          <w:color w:val="auto"/>
          <w:sz w:val="24"/>
          <w:highlight w:val="none"/>
        </w:rPr>
      </w:pPr>
    </w:p>
    <w:p>
      <w:pPr>
        <w:spacing w:line="500" w:lineRule="exact"/>
        <w:rPr>
          <w:rFonts w:eastAsia="仿宋_GB2312"/>
          <w:b/>
          <w:color w:val="auto"/>
          <w:sz w:val="24"/>
          <w:highlight w:val="none"/>
        </w:rPr>
      </w:pPr>
    </w:p>
    <w:p>
      <w:pPr>
        <w:pStyle w:val="2"/>
      </w:pPr>
      <w:bookmarkStart w:id="137" w:name="_GoBack"/>
      <w:bookmarkEnd w:id="137"/>
    </w:p>
    <w:p>
      <w:pPr>
        <w:spacing w:line="500" w:lineRule="exact"/>
        <w:rPr>
          <w:rFonts w:asciiTheme="majorEastAsia" w:hAnsiTheme="majorEastAsia" w:eastAsiaTheme="majorEastAsia"/>
          <w:color w:val="auto"/>
          <w:sz w:val="24"/>
          <w:highlight w:val="none"/>
        </w:rPr>
      </w:pPr>
    </w:p>
    <w:p>
      <w:pPr>
        <w:spacing w:line="500" w:lineRule="exact"/>
        <w:rPr>
          <w:rFonts w:asciiTheme="majorEastAsia" w:hAnsiTheme="majorEastAsia" w:eastAsiaTheme="majorEastAsia"/>
          <w:color w:val="auto"/>
          <w:sz w:val="28"/>
          <w:szCs w:val="28"/>
          <w:highlight w:val="none"/>
        </w:rPr>
      </w:pPr>
      <w:r>
        <w:rPr>
          <w:rFonts w:asciiTheme="majorEastAsia" w:hAnsiTheme="majorEastAsia" w:eastAsiaTheme="majorEastAsia"/>
          <w:color w:val="auto"/>
          <w:sz w:val="24"/>
          <w:highlight w:val="none"/>
        </w:rPr>
        <w:t>附件二</w:t>
      </w:r>
      <w:r>
        <w:rPr>
          <w:rFonts w:asciiTheme="majorEastAsia" w:hAnsiTheme="majorEastAsia" w:eastAsiaTheme="majorEastAsia"/>
          <w:color w:val="auto"/>
          <w:sz w:val="28"/>
          <w:szCs w:val="28"/>
          <w:highlight w:val="none"/>
        </w:rPr>
        <w:t xml:space="preserve"> </w:t>
      </w:r>
    </w:p>
    <w:p>
      <w:pPr>
        <w:spacing w:line="500" w:lineRule="exact"/>
        <w:jc w:val="center"/>
        <w:rPr>
          <w:rFonts w:eastAsia="仿宋_GB2312"/>
          <w:b/>
          <w:color w:val="auto"/>
          <w:sz w:val="32"/>
          <w:szCs w:val="32"/>
          <w:highlight w:val="none"/>
        </w:rPr>
      </w:pPr>
      <w:r>
        <w:rPr>
          <w:rFonts w:asciiTheme="majorEastAsia" w:hAnsiTheme="majorEastAsia" w:eastAsiaTheme="majorEastAsia"/>
          <w:b/>
          <w:color w:val="auto"/>
          <w:sz w:val="32"/>
          <w:szCs w:val="32"/>
          <w:highlight w:val="none"/>
        </w:rPr>
        <w:t>报  价  表</w:t>
      </w:r>
    </w:p>
    <w:p>
      <w:pPr>
        <w:spacing w:line="500" w:lineRule="exact"/>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采购项目编号：</w:t>
      </w:r>
      <w:r>
        <w:rPr>
          <w:rFonts w:hint="eastAsia" w:asciiTheme="majorEastAsia" w:hAnsiTheme="majorEastAsia" w:eastAsiaTheme="majorEastAsia"/>
          <w:color w:val="auto"/>
          <w:sz w:val="24"/>
          <w:highlight w:val="none"/>
          <w:u w:val="single"/>
        </w:rPr>
        <w:t>HCZC2019-J3-50001-GXXL</w:t>
      </w:r>
    </w:p>
    <w:p>
      <w:pPr>
        <w:spacing w:line="500" w:lineRule="exact"/>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采购项目名称：</w:t>
      </w:r>
      <w:r>
        <w:rPr>
          <w:rFonts w:hint="eastAsia" w:asciiTheme="majorEastAsia" w:hAnsiTheme="majorEastAsia" w:eastAsiaTheme="majorEastAsia"/>
          <w:color w:val="auto"/>
          <w:sz w:val="24"/>
          <w:highlight w:val="none"/>
          <w:u w:val="single"/>
        </w:rPr>
        <w:t>法院移动办公办案终端及基础数据流量租用服务采购项目</w:t>
      </w:r>
    </w:p>
    <w:tbl>
      <w:tblPr>
        <w:tblStyle w:val="14"/>
        <w:tblW w:w="95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
        <w:gridCol w:w="1324"/>
        <w:gridCol w:w="670"/>
        <w:gridCol w:w="1670"/>
        <w:gridCol w:w="1371"/>
        <w:gridCol w:w="851"/>
        <w:gridCol w:w="946"/>
        <w:gridCol w:w="1419"/>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9" w:hRule="atLeast"/>
          <w:jc w:val="center"/>
        </w:trPr>
        <w:tc>
          <w:tcPr>
            <w:tcW w:w="445"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项号</w:t>
            </w:r>
          </w:p>
        </w:tc>
        <w:tc>
          <w:tcPr>
            <w:tcW w:w="1324"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货物名称</w:t>
            </w:r>
          </w:p>
        </w:tc>
        <w:tc>
          <w:tcPr>
            <w:tcW w:w="670"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数量</w:t>
            </w:r>
          </w:p>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①</w:t>
            </w:r>
          </w:p>
        </w:tc>
        <w:tc>
          <w:tcPr>
            <w:tcW w:w="1670"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货物全称、品牌生产厂家及国别</w:t>
            </w:r>
          </w:p>
        </w:tc>
        <w:tc>
          <w:tcPr>
            <w:tcW w:w="2222" w:type="dxa"/>
            <w:gridSpan w:val="2"/>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规格、技术参数、</w:t>
            </w:r>
          </w:p>
        </w:tc>
        <w:tc>
          <w:tcPr>
            <w:tcW w:w="946"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单价</w:t>
            </w:r>
          </w:p>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（元）</w:t>
            </w:r>
          </w:p>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②</w:t>
            </w:r>
          </w:p>
        </w:tc>
        <w:tc>
          <w:tcPr>
            <w:tcW w:w="1419"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单项合价</w:t>
            </w:r>
          </w:p>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（元）</w:t>
            </w:r>
          </w:p>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③=①×②</w:t>
            </w:r>
          </w:p>
        </w:tc>
        <w:tc>
          <w:tcPr>
            <w:tcW w:w="843" w:type="dxa"/>
            <w:vMerge w:val="restart"/>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1" w:hRule="atLeast"/>
          <w:jc w:val="center"/>
        </w:trPr>
        <w:tc>
          <w:tcPr>
            <w:tcW w:w="445" w:type="dxa"/>
            <w:vMerge w:val="continue"/>
            <w:vAlign w:val="center"/>
          </w:tcPr>
          <w:p>
            <w:pPr>
              <w:pStyle w:val="9"/>
              <w:jc w:val="center"/>
              <w:rPr>
                <w:rFonts w:asciiTheme="majorEastAsia" w:hAnsiTheme="majorEastAsia" w:eastAsiaTheme="majorEastAsia"/>
                <w:color w:val="auto"/>
                <w:sz w:val="24"/>
                <w:szCs w:val="24"/>
                <w:highlight w:val="none"/>
              </w:rPr>
            </w:pPr>
          </w:p>
        </w:tc>
        <w:tc>
          <w:tcPr>
            <w:tcW w:w="1324" w:type="dxa"/>
            <w:vMerge w:val="continue"/>
            <w:vAlign w:val="center"/>
          </w:tcPr>
          <w:p>
            <w:pPr>
              <w:pStyle w:val="9"/>
              <w:jc w:val="center"/>
              <w:rPr>
                <w:rFonts w:asciiTheme="majorEastAsia" w:hAnsiTheme="majorEastAsia" w:eastAsiaTheme="majorEastAsia"/>
                <w:color w:val="auto"/>
                <w:sz w:val="24"/>
                <w:szCs w:val="24"/>
                <w:highlight w:val="none"/>
              </w:rPr>
            </w:pPr>
          </w:p>
        </w:tc>
        <w:tc>
          <w:tcPr>
            <w:tcW w:w="670" w:type="dxa"/>
            <w:vMerge w:val="continue"/>
            <w:vAlign w:val="center"/>
          </w:tcPr>
          <w:p>
            <w:pPr>
              <w:pStyle w:val="9"/>
              <w:jc w:val="center"/>
              <w:rPr>
                <w:rFonts w:asciiTheme="majorEastAsia" w:hAnsiTheme="majorEastAsia" w:eastAsiaTheme="majorEastAsia"/>
                <w:color w:val="auto"/>
                <w:sz w:val="24"/>
                <w:szCs w:val="24"/>
                <w:highlight w:val="none"/>
              </w:rPr>
            </w:pPr>
          </w:p>
        </w:tc>
        <w:tc>
          <w:tcPr>
            <w:tcW w:w="1670" w:type="dxa"/>
            <w:vMerge w:val="continue"/>
            <w:vAlign w:val="center"/>
          </w:tcPr>
          <w:p>
            <w:pPr>
              <w:pStyle w:val="9"/>
              <w:jc w:val="center"/>
              <w:rPr>
                <w:rFonts w:asciiTheme="majorEastAsia" w:hAnsiTheme="majorEastAsia" w:eastAsiaTheme="majorEastAsia"/>
                <w:color w:val="auto"/>
                <w:sz w:val="24"/>
                <w:szCs w:val="24"/>
                <w:highlight w:val="none"/>
              </w:rPr>
            </w:pPr>
          </w:p>
        </w:tc>
        <w:tc>
          <w:tcPr>
            <w:tcW w:w="1371" w:type="dxa"/>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规格</w:t>
            </w:r>
          </w:p>
        </w:tc>
        <w:tc>
          <w:tcPr>
            <w:tcW w:w="851" w:type="dxa"/>
            <w:vAlign w:val="center"/>
          </w:tcPr>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附加</w:t>
            </w:r>
          </w:p>
          <w:p>
            <w:pPr>
              <w:pStyle w:val="9"/>
              <w:jc w:val="center"/>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部件</w:t>
            </w:r>
          </w:p>
        </w:tc>
        <w:tc>
          <w:tcPr>
            <w:tcW w:w="946" w:type="dxa"/>
            <w:vMerge w:val="continue"/>
            <w:vAlign w:val="center"/>
          </w:tcPr>
          <w:p>
            <w:pPr>
              <w:pStyle w:val="9"/>
              <w:jc w:val="center"/>
              <w:rPr>
                <w:rFonts w:asciiTheme="majorEastAsia" w:hAnsiTheme="majorEastAsia" w:eastAsiaTheme="majorEastAsia"/>
                <w:color w:val="auto"/>
                <w:sz w:val="24"/>
                <w:szCs w:val="24"/>
                <w:highlight w:val="none"/>
              </w:rPr>
            </w:pPr>
          </w:p>
        </w:tc>
        <w:tc>
          <w:tcPr>
            <w:tcW w:w="1419" w:type="dxa"/>
            <w:vMerge w:val="continue"/>
            <w:vAlign w:val="center"/>
          </w:tcPr>
          <w:p>
            <w:pPr>
              <w:pStyle w:val="9"/>
              <w:jc w:val="center"/>
              <w:rPr>
                <w:rFonts w:asciiTheme="majorEastAsia" w:hAnsiTheme="majorEastAsia" w:eastAsiaTheme="majorEastAsia"/>
                <w:color w:val="auto"/>
                <w:sz w:val="24"/>
                <w:szCs w:val="24"/>
                <w:highlight w:val="none"/>
              </w:rPr>
            </w:pPr>
          </w:p>
        </w:tc>
        <w:tc>
          <w:tcPr>
            <w:tcW w:w="843" w:type="dxa"/>
            <w:vMerge w:val="continue"/>
            <w:vAlign w:val="center"/>
          </w:tcPr>
          <w:p>
            <w:pPr>
              <w:pStyle w:val="9"/>
              <w:jc w:val="center"/>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w:t>
            </w:r>
          </w:p>
        </w:tc>
        <w:tc>
          <w:tcPr>
            <w:tcW w:w="1324" w:type="dxa"/>
            <w:vAlign w:val="center"/>
          </w:tcPr>
          <w:p>
            <w:pPr>
              <w:jc w:val="center"/>
              <w:rPr>
                <w:rFonts w:asciiTheme="majorEastAsia" w:hAnsiTheme="majorEastAsia" w:eastAsiaTheme="majorEastAsia"/>
                <w:color w:val="auto"/>
                <w:sz w:val="24"/>
                <w:highlight w:val="none"/>
              </w:rPr>
            </w:pPr>
            <w:r>
              <w:rPr>
                <w:rFonts w:hint="eastAsia" w:cs="黑体" w:asciiTheme="majorEastAsia" w:hAnsiTheme="majorEastAsia" w:eastAsiaTheme="majorEastAsia"/>
                <w:b/>
                <w:bCs/>
                <w:color w:val="auto"/>
                <w:szCs w:val="21"/>
                <w:highlight w:val="none"/>
              </w:rPr>
              <w:t>法院移动办公办案终端1</w:t>
            </w:r>
          </w:p>
        </w:tc>
        <w:tc>
          <w:tcPr>
            <w:tcW w:w="670" w:type="dxa"/>
            <w:vAlign w:val="center"/>
          </w:tcPr>
          <w:p>
            <w:pPr>
              <w:jc w:val="center"/>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15</w:t>
            </w: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w:t>
            </w:r>
          </w:p>
        </w:tc>
        <w:tc>
          <w:tcPr>
            <w:tcW w:w="1324" w:type="dxa"/>
            <w:vAlign w:val="center"/>
          </w:tcPr>
          <w:p>
            <w:pPr>
              <w:jc w:val="center"/>
              <w:rPr>
                <w:rFonts w:asciiTheme="majorEastAsia" w:hAnsiTheme="majorEastAsia" w:eastAsiaTheme="majorEastAsia"/>
                <w:color w:val="auto"/>
                <w:sz w:val="24"/>
                <w:highlight w:val="none"/>
              </w:rPr>
            </w:pPr>
            <w:r>
              <w:rPr>
                <w:rFonts w:hint="eastAsia" w:cs="黑体" w:asciiTheme="majorEastAsia" w:hAnsiTheme="majorEastAsia" w:eastAsiaTheme="majorEastAsia"/>
                <w:b/>
                <w:bCs/>
                <w:color w:val="auto"/>
                <w:szCs w:val="21"/>
                <w:highlight w:val="none"/>
              </w:rPr>
              <w:t>法院移动办公办案终端2</w:t>
            </w:r>
          </w:p>
        </w:tc>
        <w:tc>
          <w:tcPr>
            <w:tcW w:w="670" w:type="dxa"/>
            <w:vAlign w:val="center"/>
          </w:tcPr>
          <w:p>
            <w:pPr>
              <w:jc w:val="center"/>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39</w:t>
            </w: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w:t>
            </w:r>
          </w:p>
        </w:tc>
        <w:tc>
          <w:tcPr>
            <w:tcW w:w="1324" w:type="dxa"/>
            <w:vAlign w:val="center"/>
          </w:tcPr>
          <w:p>
            <w:pPr>
              <w:jc w:val="center"/>
              <w:rPr>
                <w:rFonts w:asciiTheme="majorEastAsia" w:hAnsiTheme="majorEastAsia" w:eastAsiaTheme="majorEastAsia"/>
                <w:color w:val="auto"/>
                <w:sz w:val="24"/>
                <w:highlight w:val="none"/>
              </w:rPr>
            </w:pPr>
            <w:r>
              <w:rPr>
                <w:rFonts w:hint="eastAsia" w:cs="黑体" w:asciiTheme="majorEastAsia" w:hAnsiTheme="majorEastAsia" w:eastAsiaTheme="majorEastAsia"/>
                <w:b/>
                <w:bCs/>
                <w:color w:val="auto"/>
                <w:szCs w:val="21"/>
                <w:highlight w:val="none"/>
              </w:rPr>
              <w:t>法院移动办公办案终端3</w:t>
            </w:r>
          </w:p>
        </w:tc>
        <w:tc>
          <w:tcPr>
            <w:tcW w:w="670" w:type="dxa"/>
            <w:vAlign w:val="center"/>
          </w:tcPr>
          <w:p>
            <w:pPr>
              <w:jc w:val="center"/>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20</w:t>
            </w: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w:t>
            </w:r>
          </w:p>
        </w:tc>
        <w:tc>
          <w:tcPr>
            <w:tcW w:w="1324" w:type="dxa"/>
            <w:vAlign w:val="center"/>
          </w:tcPr>
          <w:p>
            <w:pPr>
              <w:jc w:val="center"/>
              <w:rPr>
                <w:rFonts w:asciiTheme="majorEastAsia" w:hAnsiTheme="majorEastAsia" w:eastAsiaTheme="majorEastAsia"/>
                <w:color w:val="auto"/>
                <w:sz w:val="24"/>
                <w:highlight w:val="none"/>
              </w:rPr>
            </w:pPr>
            <w:r>
              <w:rPr>
                <w:rFonts w:hint="eastAsia" w:cs="黑体" w:asciiTheme="majorEastAsia" w:hAnsiTheme="majorEastAsia" w:eastAsiaTheme="majorEastAsia"/>
                <w:b/>
                <w:bCs/>
                <w:color w:val="auto"/>
                <w:szCs w:val="21"/>
                <w:highlight w:val="none"/>
              </w:rPr>
              <w:t>法院移动办公办案终端4</w:t>
            </w:r>
          </w:p>
        </w:tc>
        <w:tc>
          <w:tcPr>
            <w:tcW w:w="670" w:type="dxa"/>
            <w:vAlign w:val="center"/>
          </w:tcPr>
          <w:p>
            <w:pPr>
              <w:jc w:val="center"/>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8</w:t>
            </w: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w:t>
            </w:r>
          </w:p>
        </w:tc>
        <w:tc>
          <w:tcPr>
            <w:tcW w:w="1324" w:type="dxa"/>
            <w:vAlign w:val="center"/>
          </w:tcPr>
          <w:p>
            <w:pPr>
              <w:jc w:val="center"/>
              <w:rPr>
                <w:rFonts w:asciiTheme="majorEastAsia" w:hAnsiTheme="majorEastAsia" w:eastAsiaTheme="majorEastAsia"/>
                <w:color w:val="auto"/>
                <w:sz w:val="24"/>
                <w:highlight w:val="none"/>
              </w:rPr>
            </w:pPr>
            <w:r>
              <w:rPr>
                <w:rFonts w:hint="eastAsia" w:asciiTheme="majorEastAsia" w:hAnsiTheme="majorEastAsia" w:eastAsiaTheme="majorEastAsia"/>
                <w:b/>
                <w:bCs/>
                <w:color w:val="auto"/>
                <w:szCs w:val="21"/>
                <w:highlight w:val="none"/>
              </w:rPr>
              <w:t>基础数据流量租用服务1</w:t>
            </w:r>
          </w:p>
        </w:tc>
        <w:tc>
          <w:tcPr>
            <w:tcW w:w="670" w:type="dxa"/>
            <w:vAlign w:val="center"/>
          </w:tcPr>
          <w:p>
            <w:pPr>
              <w:jc w:val="center"/>
              <w:rPr>
                <w:rFonts w:hint="eastAsia"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15</w:t>
            </w: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6</w:t>
            </w:r>
          </w:p>
        </w:tc>
        <w:tc>
          <w:tcPr>
            <w:tcW w:w="1324" w:type="dxa"/>
            <w:vAlign w:val="center"/>
          </w:tcPr>
          <w:p>
            <w:pPr>
              <w:jc w:val="center"/>
              <w:rPr>
                <w:rFonts w:asciiTheme="majorEastAsia" w:hAnsiTheme="majorEastAsia" w:eastAsiaTheme="majorEastAsia"/>
                <w:color w:val="auto"/>
                <w:sz w:val="24"/>
                <w:highlight w:val="none"/>
              </w:rPr>
            </w:pPr>
            <w:r>
              <w:rPr>
                <w:rFonts w:hint="eastAsia" w:asciiTheme="majorEastAsia" w:hAnsiTheme="majorEastAsia" w:eastAsiaTheme="majorEastAsia"/>
                <w:b/>
                <w:bCs/>
                <w:color w:val="auto"/>
                <w:szCs w:val="21"/>
                <w:highlight w:val="none"/>
              </w:rPr>
              <w:t>基础数据流量租用服务2</w:t>
            </w:r>
          </w:p>
        </w:tc>
        <w:tc>
          <w:tcPr>
            <w:tcW w:w="670" w:type="dxa"/>
            <w:vAlign w:val="center"/>
          </w:tcPr>
          <w:p>
            <w:pPr>
              <w:jc w:val="center"/>
              <w:rPr>
                <w:rFonts w:hint="default" w:asciiTheme="majorEastAsia" w:hAnsiTheme="majorEastAsia" w:eastAsiaTheme="majorEastAsia"/>
                <w:color w:val="auto"/>
                <w:sz w:val="24"/>
                <w:highlight w:val="none"/>
                <w:lang w:val="en-US" w:eastAsia="zh-CN"/>
              </w:rPr>
            </w:pPr>
            <w:r>
              <w:rPr>
                <w:rFonts w:hint="eastAsia" w:asciiTheme="majorEastAsia" w:hAnsiTheme="majorEastAsia" w:eastAsiaTheme="majorEastAsia"/>
                <w:color w:val="auto"/>
                <w:sz w:val="24"/>
                <w:highlight w:val="none"/>
                <w:lang w:val="en-US" w:eastAsia="zh-CN"/>
              </w:rPr>
              <w:t>67</w:t>
            </w: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w:t>
            </w:r>
          </w:p>
        </w:tc>
        <w:tc>
          <w:tcPr>
            <w:tcW w:w="1324" w:type="dxa"/>
            <w:vAlign w:val="center"/>
          </w:tcPr>
          <w:p>
            <w:pPr>
              <w:jc w:val="center"/>
              <w:rPr>
                <w:rFonts w:asciiTheme="majorEastAsia" w:hAnsiTheme="majorEastAsia" w:eastAsiaTheme="majorEastAsia"/>
                <w:color w:val="auto"/>
                <w:sz w:val="24"/>
                <w:highlight w:val="none"/>
              </w:rPr>
            </w:pPr>
          </w:p>
        </w:tc>
        <w:tc>
          <w:tcPr>
            <w:tcW w:w="670" w:type="dxa"/>
            <w:vAlign w:val="center"/>
          </w:tcPr>
          <w:p>
            <w:pPr>
              <w:jc w:val="center"/>
              <w:rPr>
                <w:rFonts w:asciiTheme="majorEastAsia" w:hAnsiTheme="majorEastAsia" w:eastAsiaTheme="majorEastAsia"/>
                <w:color w:val="auto"/>
                <w:sz w:val="24"/>
                <w:highlight w:val="none"/>
              </w:rPr>
            </w:pP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445" w:type="dxa"/>
            <w:vAlign w:val="center"/>
          </w:tcPr>
          <w:p>
            <w:pPr>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N</w:t>
            </w:r>
          </w:p>
        </w:tc>
        <w:tc>
          <w:tcPr>
            <w:tcW w:w="1324" w:type="dxa"/>
            <w:vAlign w:val="center"/>
          </w:tcPr>
          <w:p>
            <w:pPr>
              <w:jc w:val="center"/>
              <w:rPr>
                <w:rFonts w:asciiTheme="majorEastAsia" w:hAnsiTheme="majorEastAsia" w:eastAsiaTheme="majorEastAsia"/>
                <w:color w:val="auto"/>
                <w:sz w:val="24"/>
                <w:highlight w:val="none"/>
              </w:rPr>
            </w:pPr>
          </w:p>
        </w:tc>
        <w:tc>
          <w:tcPr>
            <w:tcW w:w="670" w:type="dxa"/>
            <w:vAlign w:val="center"/>
          </w:tcPr>
          <w:p>
            <w:pPr>
              <w:jc w:val="center"/>
              <w:rPr>
                <w:rFonts w:asciiTheme="majorEastAsia" w:hAnsiTheme="majorEastAsia" w:eastAsiaTheme="majorEastAsia"/>
                <w:color w:val="auto"/>
                <w:sz w:val="24"/>
                <w:highlight w:val="none"/>
              </w:rPr>
            </w:pPr>
          </w:p>
        </w:tc>
        <w:tc>
          <w:tcPr>
            <w:tcW w:w="1670" w:type="dxa"/>
            <w:vAlign w:val="center"/>
          </w:tcPr>
          <w:p>
            <w:pPr>
              <w:pStyle w:val="9"/>
              <w:rPr>
                <w:rFonts w:asciiTheme="majorEastAsia" w:hAnsiTheme="majorEastAsia" w:eastAsiaTheme="majorEastAsia"/>
                <w:color w:val="auto"/>
                <w:sz w:val="24"/>
                <w:szCs w:val="24"/>
                <w:highlight w:val="none"/>
              </w:rPr>
            </w:pPr>
          </w:p>
        </w:tc>
        <w:tc>
          <w:tcPr>
            <w:tcW w:w="1371" w:type="dxa"/>
            <w:vAlign w:val="center"/>
          </w:tcPr>
          <w:p>
            <w:pPr>
              <w:pStyle w:val="9"/>
              <w:rPr>
                <w:rFonts w:asciiTheme="majorEastAsia" w:hAnsiTheme="majorEastAsia" w:eastAsiaTheme="majorEastAsia"/>
                <w:color w:val="auto"/>
                <w:sz w:val="24"/>
                <w:szCs w:val="24"/>
                <w:highlight w:val="none"/>
              </w:rPr>
            </w:pPr>
          </w:p>
        </w:tc>
        <w:tc>
          <w:tcPr>
            <w:tcW w:w="851" w:type="dxa"/>
            <w:vAlign w:val="center"/>
          </w:tcPr>
          <w:p>
            <w:pPr>
              <w:pStyle w:val="9"/>
              <w:rPr>
                <w:rFonts w:asciiTheme="majorEastAsia" w:hAnsiTheme="majorEastAsia" w:eastAsiaTheme="majorEastAsia"/>
                <w:color w:val="auto"/>
                <w:sz w:val="24"/>
                <w:szCs w:val="24"/>
                <w:highlight w:val="none"/>
              </w:rPr>
            </w:pPr>
          </w:p>
        </w:tc>
        <w:tc>
          <w:tcPr>
            <w:tcW w:w="946" w:type="dxa"/>
            <w:vAlign w:val="center"/>
          </w:tcPr>
          <w:p>
            <w:pPr>
              <w:pStyle w:val="9"/>
              <w:rPr>
                <w:rFonts w:asciiTheme="majorEastAsia" w:hAnsiTheme="majorEastAsia" w:eastAsiaTheme="majorEastAsia"/>
                <w:color w:val="auto"/>
                <w:sz w:val="24"/>
                <w:szCs w:val="24"/>
                <w:highlight w:val="none"/>
              </w:rPr>
            </w:pPr>
          </w:p>
        </w:tc>
        <w:tc>
          <w:tcPr>
            <w:tcW w:w="1419" w:type="dxa"/>
            <w:vAlign w:val="center"/>
          </w:tcPr>
          <w:p>
            <w:pPr>
              <w:pStyle w:val="9"/>
              <w:rPr>
                <w:rFonts w:asciiTheme="majorEastAsia" w:hAnsiTheme="majorEastAsia" w:eastAsiaTheme="majorEastAsia"/>
                <w:color w:val="auto"/>
                <w:sz w:val="24"/>
                <w:szCs w:val="24"/>
                <w:highlight w:val="none"/>
              </w:rPr>
            </w:pPr>
          </w:p>
        </w:tc>
        <w:tc>
          <w:tcPr>
            <w:tcW w:w="843" w:type="dxa"/>
            <w:vAlign w:val="center"/>
          </w:tcPr>
          <w:p>
            <w:pPr>
              <w:pStyle w:val="9"/>
              <w:rPr>
                <w:rFonts w:asciiTheme="majorEastAsia" w:hAnsiTheme="majorEastAsia" w:eastAsiaTheme="majorEastAsia"/>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9539" w:type="dxa"/>
            <w:gridSpan w:val="9"/>
            <w:vAlign w:val="center"/>
          </w:tcPr>
          <w:p>
            <w:pPr>
              <w:pStyle w:val="9"/>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总报价（人民币大写）：                                 （￥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5" w:hRule="atLeast"/>
          <w:jc w:val="center"/>
        </w:trPr>
        <w:tc>
          <w:tcPr>
            <w:tcW w:w="9539" w:type="dxa"/>
            <w:gridSpan w:val="9"/>
            <w:vAlign w:val="center"/>
          </w:tcPr>
          <w:p>
            <w:pPr>
              <w:pStyle w:val="9"/>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交</w:t>
            </w:r>
            <w:r>
              <w:rPr>
                <w:rFonts w:hint="eastAsia" w:asciiTheme="majorEastAsia" w:hAnsiTheme="majorEastAsia" w:eastAsiaTheme="majorEastAsia"/>
                <w:color w:val="auto"/>
                <w:sz w:val="24"/>
                <w:szCs w:val="24"/>
                <w:highlight w:val="none"/>
              </w:rPr>
              <w:t>货时间</w:t>
            </w:r>
            <w:r>
              <w:rPr>
                <w:rFonts w:asciiTheme="majorEastAsia" w:hAnsiTheme="majorEastAsia" w:eastAsiaTheme="majorEastAsia"/>
                <w:color w:val="auto"/>
                <w:sz w:val="24"/>
                <w:szCs w:val="24"/>
                <w:highlight w:val="none"/>
              </w:rPr>
              <w:t>：</w:t>
            </w:r>
          </w:p>
        </w:tc>
      </w:tr>
    </w:tbl>
    <w:p>
      <w:pPr>
        <w:pStyle w:val="9"/>
        <w:rPr>
          <w:rFonts w:asciiTheme="majorEastAsia" w:hAnsiTheme="majorEastAsia" w:eastAsiaTheme="majorEastAsia"/>
          <w:color w:val="auto"/>
          <w:sz w:val="24"/>
          <w:szCs w:val="24"/>
          <w:highlight w:val="none"/>
        </w:rPr>
      </w:pPr>
    </w:p>
    <w:p>
      <w:pPr>
        <w:pStyle w:val="9"/>
        <w:jc w:val="center"/>
        <w:rPr>
          <w:rFonts w:asciiTheme="majorEastAsia" w:hAnsiTheme="majorEastAsia" w:eastAsiaTheme="majorEastAsia"/>
          <w:color w:val="auto"/>
          <w:sz w:val="24"/>
          <w:szCs w:val="24"/>
          <w:highlight w:val="none"/>
        </w:rPr>
      </w:pPr>
    </w:p>
    <w:p>
      <w:pPr>
        <w:pStyle w:val="9"/>
        <w:spacing w:line="520" w:lineRule="exact"/>
        <w:rPr>
          <w:rFonts w:asciiTheme="majorEastAsia" w:hAnsiTheme="majorEastAsia" w:eastAsiaTheme="majorEastAsia"/>
          <w:color w:val="auto"/>
          <w:sz w:val="24"/>
          <w:szCs w:val="24"/>
          <w:highlight w:val="none"/>
          <w:u w:val="single"/>
        </w:rPr>
      </w:pPr>
      <w:r>
        <w:rPr>
          <w:rFonts w:hint="eastAsia" w:asciiTheme="majorEastAsia" w:hAnsiTheme="majorEastAsia" w:eastAsiaTheme="majorEastAsia"/>
          <w:color w:val="auto"/>
          <w:sz w:val="24"/>
          <w:szCs w:val="24"/>
          <w:highlight w:val="none"/>
          <w:lang w:eastAsia="zh-CN"/>
        </w:rPr>
        <w:t>法定代表人或负责人、法定代表人或负责人</w:t>
      </w:r>
      <w:r>
        <w:rPr>
          <w:rFonts w:asciiTheme="majorEastAsia" w:hAnsiTheme="majorEastAsia" w:eastAsiaTheme="majorEastAsia"/>
          <w:color w:val="auto"/>
          <w:sz w:val="24"/>
          <w:szCs w:val="24"/>
          <w:highlight w:val="none"/>
        </w:rPr>
        <w:t>授权代表签字：</w:t>
      </w:r>
      <w:r>
        <w:rPr>
          <w:rFonts w:asciiTheme="majorEastAsia" w:hAnsiTheme="majorEastAsia" w:eastAsiaTheme="majorEastAsia"/>
          <w:color w:val="auto"/>
          <w:sz w:val="24"/>
          <w:szCs w:val="24"/>
          <w:highlight w:val="none"/>
          <w:u w:val="single"/>
        </w:rPr>
        <w:t xml:space="preserve">        </w:t>
      </w:r>
    </w:p>
    <w:p>
      <w:pPr>
        <w:pStyle w:val="9"/>
        <w:rPr>
          <w:rFonts w:asciiTheme="majorEastAsia" w:hAnsiTheme="majorEastAsia" w:eastAsiaTheme="majorEastAsia"/>
          <w:color w:val="auto"/>
          <w:sz w:val="24"/>
          <w:szCs w:val="24"/>
          <w:highlight w:val="none"/>
          <w:u w:val="single"/>
        </w:rPr>
      </w:pPr>
      <w:r>
        <w:rPr>
          <w:rFonts w:asciiTheme="majorEastAsia" w:hAnsiTheme="majorEastAsia" w:eastAsiaTheme="majorEastAsia"/>
          <w:color w:val="auto"/>
          <w:sz w:val="24"/>
          <w:szCs w:val="24"/>
          <w:highlight w:val="none"/>
        </w:rPr>
        <w:t>谈判供应商名称（签章）：</w:t>
      </w:r>
      <w:r>
        <w:rPr>
          <w:rFonts w:asciiTheme="majorEastAsia" w:hAnsiTheme="majorEastAsia" w:eastAsiaTheme="majorEastAsia"/>
          <w:color w:val="auto"/>
          <w:sz w:val="24"/>
          <w:szCs w:val="24"/>
          <w:highlight w:val="none"/>
          <w:u w:val="single"/>
        </w:rPr>
        <w:t xml:space="preserve">               </w:t>
      </w:r>
    </w:p>
    <w:p>
      <w:pPr>
        <w:adjustRightInd w:val="0"/>
        <w:snapToGrid w:val="0"/>
        <w:spacing w:line="300" w:lineRule="auto"/>
        <w:ind w:left="-88" w:leftChars="-42" w:firstLine="120" w:firstLineChars="5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日   期：</w:t>
      </w:r>
      <w:r>
        <w:rPr>
          <w:rFonts w:asciiTheme="majorEastAsia" w:hAnsiTheme="majorEastAsia" w:eastAsiaTheme="majorEastAsia"/>
          <w:color w:val="auto"/>
          <w:sz w:val="24"/>
          <w:highlight w:val="none"/>
          <w:u w:val="single"/>
        </w:rPr>
        <w:t xml:space="preserve">                            </w:t>
      </w:r>
    </w:p>
    <w:p>
      <w:pPr>
        <w:spacing w:line="300" w:lineRule="auto"/>
        <w:rPr>
          <w:rFonts w:asciiTheme="majorEastAsia" w:hAnsiTheme="majorEastAsia" w:eastAsiaTheme="majorEastAsia"/>
          <w:color w:val="auto"/>
          <w:sz w:val="24"/>
          <w:highlight w:val="none"/>
        </w:rPr>
      </w:pPr>
    </w:p>
    <w:p>
      <w:pPr>
        <w:spacing w:line="300" w:lineRule="auto"/>
        <w:rPr>
          <w:rFonts w:asciiTheme="majorEastAsia" w:hAnsiTheme="majorEastAsia" w:eastAsiaTheme="majorEastAsia"/>
          <w:color w:val="auto"/>
          <w:sz w:val="24"/>
          <w:highlight w:val="none"/>
        </w:rPr>
      </w:pPr>
    </w:p>
    <w:p>
      <w:pPr>
        <w:spacing w:line="300" w:lineRule="auto"/>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附件三</w:t>
      </w:r>
    </w:p>
    <w:p>
      <w:pPr>
        <w:spacing w:line="300" w:lineRule="auto"/>
        <w:jc w:val="center"/>
        <w:rPr>
          <w:rFonts w:asciiTheme="majorEastAsia" w:hAnsiTheme="majorEastAsia" w:eastAsiaTheme="majorEastAsia"/>
          <w:b/>
          <w:color w:val="auto"/>
          <w:sz w:val="32"/>
          <w:szCs w:val="32"/>
          <w:highlight w:val="none"/>
        </w:rPr>
      </w:pPr>
      <w:r>
        <w:rPr>
          <w:rFonts w:asciiTheme="majorEastAsia" w:hAnsiTheme="majorEastAsia" w:eastAsiaTheme="majorEastAsia"/>
          <w:b/>
          <w:color w:val="auto"/>
          <w:sz w:val="32"/>
          <w:szCs w:val="32"/>
          <w:highlight w:val="none"/>
        </w:rPr>
        <w:t>技术偏离、商务响应情况说明表</w:t>
      </w:r>
    </w:p>
    <w:p>
      <w:pPr>
        <w:spacing w:line="300" w:lineRule="auto"/>
        <w:rPr>
          <w:rFonts w:asciiTheme="majorEastAsia" w:hAnsiTheme="majorEastAsia" w:eastAsiaTheme="majorEastAsia"/>
          <w:color w:val="auto"/>
          <w:sz w:val="28"/>
          <w:szCs w:val="28"/>
          <w:highlight w:val="none"/>
        </w:rPr>
      </w:pPr>
    </w:p>
    <w:p>
      <w:pPr>
        <w:spacing w:line="300" w:lineRule="auto"/>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采购项目编号：</w:t>
      </w:r>
      <w:r>
        <w:rPr>
          <w:rFonts w:asciiTheme="majorEastAsia" w:hAnsiTheme="majorEastAsia" w:eastAsiaTheme="majorEastAsia"/>
          <w:color w:val="auto"/>
          <w:sz w:val="24"/>
          <w:highlight w:val="none"/>
          <w:u w:val="single"/>
        </w:rPr>
        <w:t xml:space="preserve">                 </w:t>
      </w:r>
    </w:p>
    <w:p>
      <w:pPr>
        <w:spacing w:line="300" w:lineRule="auto"/>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采购项目名称：</w:t>
      </w:r>
      <w:r>
        <w:rPr>
          <w:rFonts w:asciiTheme="majorEastAsia" w:hAnsiTheme="majorEastAsia" w:eastAsiaTheme="majorEastAsia"/>
          <w:color w:val="auto"/>
          <w:sz w:val="24"/>
          <w:highlight w:val="none"/>
          <w:u w:val="single"/>
        </w:rPr>
        <w:t xml:space="preserve">                 </w:t>
      </w:r>
    </w:p>
    <w:p>
      <w:pPr>
        <w:spacing w:line="300" w:lineRule="auto"/>
        <w:rPr>
          <w:rFonts w:asciiTheme="majorEastAsia" w:hAnsiTheme="majorEastAsia" w:eastAsiaTheme="majorEastAsia"/>
          <w:color w:val="auto"/>
          <w:sz w:val="24"/>
          <w:highlight w:val="none"/>
        </w:rPr>
      </w:pPr>
    </w:p>
    <w:tbl>
      <w:tblPr>
        <w:tblStyle w:val="14"/>
        <w:tblW w:w="9501"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29"/>
        <w:gridCol w:w="2840"/>
        <w:gridCol w:w="3136"/>
        <w:gridCol w:w="1480"/>
        <w:gridCol w:w="121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97" w:name="_Toc173066401"/>
            <w:bookmarkStart w:id="98" w:name="_Toc173211900"/>
            <w:bookmarkStart w:id="99" w:name="_Toc254970588"/>
            <w:bookmarkStart w:id="100" w:name="_Toc254970729"/>
            <w:r>
              <w:rPr>
                <w:rFonts w:asciiTheme="majorEastAsia" w:hAnsiTheme="majorEastAsia" w:eastAsiaTheme="majorEastAsia"/>
                <w:color w:val="auto"/>
                <w:sz w:val="24"/>
                <w:highlight w:val="none"/>
              </w:rPr>
              <w:t>序号</w:t>
            </w:r>
            <w:bookmarkEnd w:id="97"/>
            <w:bookmarkEnd w:id="98"/>
            <w:bookmarkEnd w:id="99"/>
            <w:bookmarkEnd w:id="100"/>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01" w:name="_Toc173066402"/>
            <w:bookmarkStart w:id="102" w:name="_Toc173211901"/>
            <w:bookmarkStart w:id="103" w:name="_Toc254970589"/>
            <w:bookmarkStart w:id="104" w:name="_Toc254970730"/>
            <w:r>
              <w:rPr>
                <w:rFonts w:asciiTheme="majorEastAsia" w:hAnsiTheme="majorEastAsia" w:eastAsiaTheme="majorEastAsia"/>
                <w:color w:val="auto"/>
                <w:sz w:val="24"/>
                <w:highlight w:val="none"/>
              </w:rPr>
              <w:t>竞争性谈判文件要求</w:t>
            </w:r>
            <w:bookmarkEnd w:id="101"/>
            <w:bookmarkEnd w:id="102"/>
            <w:bookmarkEnd w:id="103"/>
            <w:bookmarkEnd w:id="104"/>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05" w:name="_Toc173066403"/>
            <w:bookmarkStart w:id="106" w:name="_Toc173211902"/>
            <w:bookmarkStart w:id="107" w:name="_Toc254970590"/>
            <w:bookmarkStart w:id="108" w:name="_Toc254970731"/>
            <w:r>
              <w:rPr>
                <w:rFonts w:asciiTheme="majorEastAsia" w:hAnsiTheme="majorEastAsia" w:eastAsiaTheme="majorEastAsia"/>
                <w:color w:val="auto"/>
                <w:sz w:val="24"/>
                <w:highlight w:val="none"/>
              </w:rPr>
              <w:t>谈判响应文件具体响应</w:t>
            </w:r>
            <w:bookmarkEnd w:id="105"/>
            <w:bookmarkEnd w:id="106"/>
            <w:bookmarkEnd w:id="107"/>
            <w:bookmarkEnd w:id="108"/>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09" w:name="_Toc173066404"/>
            <w:bookmarkStart w:id="110" w:name="_Toc173211903"/>
            <w:bookmarkStart w:id="111" w:name="_Toc254970591"/>
            <w:bookmarkStart w:id="112" w:name="_Toc254970732"/>
            <w:r>
              <w:rPr>
                <w:rFonts w:asciiTheme="majorEastAsia" w:hAnsiTheme="majorEastAsia" w:eastAsiaTheme="majorEastAsia"/>
                <w:color w:val="auto"/>
                <w:sz w:val="24"/>
                <w:highlight w:val="none"/>
              </w:rPr>
              <w:t>响应/偏离</w:t>
            </w:r>
            <w:bookmarkEnd w:id="109"/>
            <w:bookmarkEnd w:id="110"/>
            <w:bookmarkEnd w:id="111"/>
            <w:bookmarkEnd w:id="112"/>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13" w:name="_Toc173066405"/>
            <w:bookmarkStart w:id="114" w:name="_Toc173211904"/>
            <w:bookmarkStart w:id="115" w:name="_Toc254970592"/>
            <w:bookmarkStart w:id="116" w:name="_Toc254970733"/>
            <w:r>
              <w:rPr>
                <w:rFonts w:asciiTheme="majorEastAsia" w:hAnsiTheme="majorEastAsia" w:eastAsiaTheme="majorEastAsia"/>
                <w:color w:val="auto"/>
                <w:sz w:val="24"/>
                <w:highlight w:val="none"/>
              </w:rPr>
              <w:t>说明</w:t>
            </w:r>
            <w:bookmarkEnd w:id="113"/>
            <w:bookmarkEnd w:id="114"/>
            <w:bookmarkEnd w:id="115"/>
            <w:bookmarkEnd w:id="116"/>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17" w:name="_Toc173066406"/>
            <w:bookmarkStart w:id="118" w:name="_Toc173211905"/>
            <w:bookmarkStart w:id="119" w:name="_Toc254970593"/>
            <w:bookmarkStart w:id="120" w:name="_Toc254970734"/>
            <w:r>
              <w:rPr>
                <w:rFonts w:asciiTheme="majorEastAsia" w:hAnsiTheme="majorEastAsia" w:eastAsiaTheme="majorEastAsia"/>
                <w:color w:val="auto"/>
                <w:sz w:val="24"/>
                <w:highlight w:val="none"/>
              </w:rPr>
              <w:t>1</w:t>
            </w:r>
            <w:bookmarkEnd w:id="117"/>
            <w:bookmarkEnd w:id="118"/>
            <w:bookmarkEnd w:id="119"/>
            <w:bookmarkEnd w:id="120"/>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21" w:name="_Toc173066407"/>
            <w:bookmarkStart w:id="122" w:name="_Toc173211906"/>
            <w:bookmarkStart w:id="123" w:name="_Toc254970594"/>
            <w:bookmarkStart w:id="124" w:name="_Toc254970735"/>
            <w:r>
              <w:rPr>
                <w:rFonts w:asciiTheme="majorEastAsia" w:hAnsiTheme="majorEastAsia" w:eastAsiaTheme="majorEastAsia"/>
                <w:color w:val="auto"/>
                <w:sz w:val="24"/>
                <w:highlight w:val="none"/>
              </w:rPr>
              <w:t>2</w:t>
            </w:r>
            <w:bookmarkEnd w:id="121"/>
            <w:bookmarkEnd w:id="122"/>
            <w:bookmarkEnd w:id="123"/>
            <w:bookmarkEnd w:id="124"/>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25" w:name="_Toc173066408"/>
            <w:bookmarkStart w:id="126" w:name="_Toc173211907"/>
            <w:bookmarkStart w:id="127" w:name="_Toc254970595"/>
            <w:bookmarkStart w:id="128" w:name="_Toc254970736"/>
            <w:r>
              <w:rPr>
                <w:rFonts w:asciiTheme="majorEastAsia" w:hAnsiTheme="majorEastAsia" w:eastAsiaTheme="majorEastAsia"/>
                <w:color w:val="auto"/>
                <w:sz w:val="24"/>
                <w:highlight w:val="none"/>
              </w:rPr>
              <w:t>3</w:t>
            </w:r>
            <w:bookmarkEnd w:id="125"/>
            <w:bookmarkEnd w:id="126"/>
            <w:bookmarkEnd w:id="127"/>
            <w:bookmarkEnd w:id="128"/>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w:t>
            </w:r>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w:t>
            </w:r>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6</w:t>
            </w:r>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829"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bookmarkStart w:id="129" w:name="_Toc173066415"/>
            <w:bookmarkStart w:id="130" w:name="_Toc173211914"/>
            <w:bookmarkStart w:id="131" w:name="_Toc254970602"/>
            <w:bookmarkStart w:id="132" w:name="_Toc254970743"/>
            <w:r>
              <w:rPr>
                <w:rFonts w:asciiTheme="majorEastAsia" w:hAnsiTheme="majorEastAsia" w:eastAsiaTheme="majorEastAsia"/>
                <w:color w:val="auto"/>
                <w:sz w:val="24"/>
                <w:highlight w:val="none"/>
              </w:rPr>
              <w:t>…</w:t>
            </w:r>
            <w:bookmarkEnd w:id="129"/>
            <w:bookmarkEnd w:id="130"/>
            <w:bookmarkEnd w:id="131"/>
            <w:bookmarkEnd w:id="132"/>
          </w:p>
        </w:tc>
        <w:tc>
          <w:tcPr>
            <w:tcW w:w="2840"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3136" w:type="dxa"/>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480" w:type="dxa"/>
            <w:tcBorders>
              <w:right w:val="single" w:color="auto" w:sz="4" w:space="0"/>
            </w:tcBorders>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c>
          <w:tcPr>
            <w:tcW w:w="1216" w:type="dxa"/>
            <w:tcBorders>
              <w:left w:val="single" w:color="auto" w:sz="4" w:space="0"/>
            </w:tcBorders>
            <w:vAlign w:val="center"/>
          </w:tcPr>
          <w:p>
            <w:pPr>
              <w:adjustRightInd w:val="0"/>
              <w:snapToGrid w:val="0"/>
              <w:spacing w:line="300" w:lineRule="auto"/>
              <w:jc w:val="center"/>
              <w:outlineLvl w:val="0"/>
              <w:rPr>
                <w:rFonts w:asciiTheme="majorEastAsia" w:hAnsiTheme="majorEastAsia" w:eastAsiaTheme="majorEastAsia"/>
                <w:color w:val="auto"/>
                <w:sz w:val="24"/>
                <w:highlight w:val="none"/>
              </w:rPr>
            </w:pPr>
          </w:p>
        </w:tc>
      </w:tr>
    </w:tbl>
    <w:p>
      <w:pPr>
        <w:pStyle w:val="9"/>
        <w:spacing w:line="520" w:lineRule="exact"/>
        <w:rPr>
          <w:rFonts w:asciiTheme="majorEastAsia" w:hAnsiTheme="majorEastAsia" w:eastAsiaTheme="majorEastAsia"/>
          <w:color w:val="auto"/>
          <w:sz w:val="24"/>
          <w:szCs w:val="24"/>
          <w:highlight w:val="none"/>
        </w:rPr>
      </w:pPr>
      <w:r>
        <w:rPr>
          <w:rFonts w:asciiTheme="majorEastAsia" w:hAnsiTheme="majorEastAsia" w:eastAsiaTheme="majorEastAsia"/>
          <w:color w:val="auto"/>
          <w:sz w:val="24"/>
          <w:szCs w:val="24"/>
          <w:highlight w:val="none"/>
        </w:rPr>
        <w:t>说明：应对照竞争性谈判文件“第</w:t>
      </w:r>
      <w:r>
        <w:rPr>
          <w:rFonts w:hint="eastAsia" w:asciiTheme="majorEastAsia" w:hAnsiTheme="majorEastAsia" w:eastAsiaTheme="majorEastAsia"/>
          <w:color w:val="auto"/>
          <w:sz w:val="24"/>
          <w:szCs w:val="24"/>
          <w:highlight w:val="none"/>
          <w:lang w:eastAsia="zh-CN"/>
        </w:rPr>
        <w:t>四</w:t>
      </w:r>
      <w:r>
        <w:rPr>
          <w:rFonts w:asciiTheme="majorEastAsia" w:hAnsiTheme="majorEastAsia" w:eastAsiaTheme="majorEastAsia"/>
          <w:color w:val="auto"/>
          <w:sz w:val="24"/>
          <w:szCs w:val="24"/>
          <w:highlight w:val="none"/>
        </w:rPr>
        <w:t>章 谈判采购技术规格、参数及要求”，逐条说明所提供货物和服务已对竞争性谈判文件的技术规格、商务要求做出了实质性的响应，并申明与技术规格、商务要求条文的响应和偏离。特别对有具体参数要求的指标，谈判供应商必须提供所供设备的具体参数值</w:t>
      </w:r>
      <w:r>
        <w:rPr>
          <w:rFonts w:hint="eastAsia" w:asciiTheme="majorEastAsia" w:hAnsiTheme="majorEastAsia" w:eastAsiaTheme="majorEastAsia"/>
          <w:color w:val="auto"/>
          <w:sz w:val="24"/>
          <w:szCs w:val="24"/>
          <w:highlight w:val="none"/>
          <w:lang w:eastAsia="zh-CN"/>
        </w:rPr>
        <w:t>并</w:t>
      </w:r>
      <w:r>
        <w:rPr>
          <w:rFonts w:hint="eastAsia" w:ascii="宋体" w:hAnsi="宋体" w:cs="宋体"/>
          <w:color w:val="auto"/>
          <w:sz w:val="24"/>
          <w:szCs w:val="24"/>
          <w:highlight w:val="none"/>
          <w:shd w:val="clear" w:color="auto" w:fill="auto"/>
          <w:lang w:eastAsia="zh-CN"/>
        </w:rPr>
        <w:t>提供操作系统软件著作权证书产品鉴定意见报告和操作系统软件厂家授权</w:t>
      </w:r>
      <w:r>
        <w:rPr>
          <w:rFonts w:hint="eastAsia" w:hAnsi="宋体" w:cs="宋体"/>
          <w:color w:val="auto"/>
          <w:sz w:val="24"/>
          <w:szCs w:val="24"/>
          <w:highlight w:val="none"/>
          <w:shd w:val="clear" w:color="auto" w:fill="auto"/>
          <w:lang w:val="en-US" w:eastAsia="zh-CN"/>
        </w:rPr>
        <w:t>(格式自拟)</w:t>
      </w:r>
      <w:r>
        <w:rPr>
          <w:rFonts w:asciiTheme="majorEastAsia" w:hAnsiTheme="majorEastAsia" w:eastAsiaTheme="majorEastAsia"/>
          <w:color w:val="auto"/>
          <w:sz w:val="24"/>
          <w:szCs w:val="24"/>
          <w:highlight w:val="none"/>
        </w:rPr>
        <w:t>。如果仅注明“符合”、“满足”或简单复制竞争性谈判文件要求，则不进入下一阶段谈判。</w:t>
      </w:r>
    </w:p>
    <w:p>
      <w:pPr>
        <w:pStyle w:val="9"/>
        <w:spacing w:line="520" w:lineRule="exact"/>
        <w:rPr>
          <w:rFonts w:asciiTheme="majorEastAsia" w:hAnsiTheme="majorEastAsia" w:eastAsiaTheme="majorEastAsia"/>
          <w:color w:val="auto"/>
          <w:sz w:val="24"/>
          <w:szCs w:val="24"/>
          <w:highlight w:val="none"/>
          <w:u w:val="single"/>
        </w:rPr>
      </w:pPr>
      <w:r>
        <w:rPr>
          <w:rFonts w:hint="eastAsia" w:asciiTheme="majorEastAsia" w:hAnsiTheme="majorEastAsia" w:eastAsiaTheme="majorEastAsia"/>
          <w:color w:val="auto"/>
          <w:sz w:val="24"/>
          <w:szCs w:val="24"/>
          <w:highlight w:val="none"/>
          <w:lang w:eastAsia="zh-CN"/>
        </w:rPr>
        <w:t>法定代表人或负责人、法定代表人或负责人</w:t>
      </w:r>
      <w:r>
        <w:rPr>
          <w:rFonts w:asciiTheme="majorEastAsia" w:hAnsiTheme="majorEastAsia" w:eastAsiaTheme="majorEastAsia"/>
          <w:color w:val="auto"/>
          <w:sz w:val="24"/>
          <w:szCs w:val="24"/>
          <w:highlight w:val="none"/>
        </w:rPr>
        <w:t>授权代表签字：</w:t>
      </w:r>
      <w:r>
        <w:rPr>
          <w:rFonts w:asciiTheme="majorEastAsia" w:hAnsiTheme="majorEastAsia" w:eastAsiaTheme="majorEastAsia"/>
          <w:color w:val="auto"/>
          <w:sz w:val="24"/>
          <w:szCs w:val="24"/>
          <w:highlight w:val="none"/>
          <w:u w:val="single"/>
        </w:rPr>
        <w:t xml:space="preserve">        </w:t>
      </w:r>
    </w:p>
    <w:p>
      <w:pPr>
        <w:pStyle w:val="9"/>
        <w:rPr>
          <w:rFonts w:asciiTheme="majorEastAsia" w:hAnsiTheme="majorEastAsia" w:eastAsiaTheme="majorEastAsia"/>
          <w:color w:val="auto"/>
          <w:sz w:val="24"/>
          <w:szCs w:val="24"/>
          <w:highlight w:val="none"/>
          <w:u w:val="single"/>
        </w:rPr>
      </w:pPr>
      <w:r>
        <w:rPr>
          <w:rFonts w:asciiTheme="majorEastAsia" w:hAnsiTheme="majorEastAsia" w:eastAsiaTheme="majorEastAsia"/>
          <w:color w:val="auto"/>
          <w:sz w:val="24"/>
          <w:szCs w:val="24"/>
          <w:highlight w:val="none"/>
        </w:rPr>
        <w:t>谈判供应商名称（签章）：</w:t>
      </w:r>
      <w:r>
        <w:rPr>
          <w:rFonts w:asciiTheme="majorEastAsia" w:hAnsiTheme="majorEastAsia" w:eastAsiaTheme="majorEastAsia"/>
          <w:color w:val="auto"/>
          <w:sz w:val="24"/>
          <w:szCs w:val="24"/>
          <w:highlight w:val="none"/>
          <w:u w:val="single"/>
        </w:rPr>
        <w:t xml:space="preserve">               </w:t>
      </w:r>
    </w:p>
    <w:p>
      <w:pPr>
        <w:pStyle w:val="9"/>
        <w:spacing w:line="300" w:lineRule="auto"/>
        <w:rPr>
          <w:rFonts w:asciiTheme="majorEastAsia" w:hAnsiTheme="majorEastAsia" w:eastAsiaTheme="majorEastAsia"/>
          <w:color w:val="auto"/>
          <w:sz w:val="24"/>
          <w:szCs w:val="24"/>
          <w:highlight w:val="none"/>
          <w:u w:val="single"/>
        </w:rPr>
      </w:pPr>
      <w:r>
        <w:rPr>
          <w:rFonts w:asciiTheme="majorEastAsia" w:hAnsiTheme="majorEastAsia" w:eastAsiaTheme="majorEastAsia"/>
          <w:color w:val="auto"/>
          <w:sz w:val="24"/>
          <w:szCs w:val="24"/>
          <w:highlight w:val="none"/>
        </w:rPr>
        <w:t>日   期：</w:t>
      </w:r>
      <w:r>
        <w:rPr>
          <w:rFonts w:asciiTheme="majorEastAsia" w:hAnsiTheme="majorEastAsia" w:eastAsiaTheme="majorEastAsia"/>
          <w:color w:val="auto"/>
          <w:sz w:val="24"/>
          <w:szCs w:val="24"/>
          <w:highlight w:val="none"/>
          <w:u w:val="single"/>
        </w:rPr>
        <w:t xml:space="preserve">                            </w:t>
      </w:r>
    </w:p>
    <w:p>
      <w:pPr>
        <w:spacing w:line="300" w:lineRule="auto"/>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 xml:space="preserve"> </w:t>
      </w:r>
    </w:p>
    <w:p>
      <w:pPr>
        <w:spacing w:line="300" w:lineRule="auto"/>
        <w:rPr>
          <w:rFonts w:eastAsia="仿宋_GB2312"/>
          <w:b/>
          <w:color w:val="auto"/>
          <w:sz w:val="24"/>
          <w:highlight w:val="none"/>
        </w:rPr>
      </w:pPr>
    </w:p>
    <w:p>
      <w:pPr>
        <w:spacing w:line="300" w:lineRule="auto"/>
        <w:rPr>
          <w:rFonts w:eastAsia="仿宋_GB2312"/>
          <w:color w:val="auto"/>
          <w:sz w:val="24"/>
          <w:highlight w:val="none"/>
        </w:rPr>
      </w:pPr>
    </w:p>
    <w:p>
      <w:pPr>
        <w:spacing w:line="300" w:lineRule="auto"/>
        <w:rPr>
          <w:rFonts w:eastAsia="仿宋_GB2312"/>
          <w:color w:val="auto"/>
          <w:sz w:val="24"/>
          <w:highlight w:val="none"/>
        </w:rPr>
      </w:pPr>
    </w:p>
    <w:p>
      <w:pPr>
        <w:spacing w:line="300" w:lineRule="auto"/>
        <w:rPr>
          <w:rFonts w:asciiTheme="majorEastAsia" w:hAnsiTheme="majorEastAsia" w:eastAsiaTheme="majorEastAsia"/>
          <w:color w:val="auto"/>
          <w:sz w:val="24"/>
          <w:highlight w:val="none"/>
        </w:rPr>
      </w:pPr>
      <w:r>
        <w:rPr>
          <w:rFonts w:eastAsia="仿宋_GB2312"/>
          <w:color w:val="auto"/>
          <w:sz w:val="24"/>
          <w:highlight w:val="none"/>
        </w:rPr>
        <w:br w:type="page"/>
      </w:r>
      <w:r>
        <w:rPr>
          <w:rFonts w:asciiTheme="majorEastAsia" w:hAnsiTheme="majorEastAsia" w:eastAsiaTheme="majorEastAsia"/>
          <w:color w:val="auto"/>
          <w:sz w:val="24"/>
          <w:highlight w:val="none"/>
        </w:rPr>
        <w:t>附件四</w:t>
      </w:r>
    </w:p>
    <w:p>
      <w:pPr>
        <w:adjustRightInd w:val="0"/>
        <w:snapToGrid w:val="0"/>
        <w:spacing w:line="300" w:lineRule="auto"/>
        <w:jc w:val="center"/>
        <w:rPr>
          <w:rFonts w:asciiTheme="majorEastAsia" w:hAnsiTheme="majorEastAsia" w:eastAsiaTheme="majorEastAsia"/>
          <w:b/>
          <w:color w:val="auto"/>
          <w:sz w:val="32"/>
          <w:szCs w:val="32"/>
          <w:highlight w:val="none"/>
        </w:rPr>
      </w:pPr>
      <w:r>
        <w:rPr>
          <w:rFonts w:hint="eastAsia" w:asciiTheme="majorEastAsia" w:hAnsiTheme="majorEastAsia" w:eastAsiaTheme="majorEastAsia"/>
          <w:b/>
          <w:color w:val="auto"/>
          <w:sz w:val="32"/>
          <w:szCs w:val="32"/>
          <w:highlight w:val="none"/>
          <w:lang w:eastAsia="zh-CN"/>
        </w:rPr>
        <w:t>法定代表人或负责人</w:t>
      </w:r>
      <w:r>
        <w:rPr>
          <w:rFonts w:asciiTheme="majorEastAsia" w:hAnsiTheme="majorEastAsia" w:eastAsiaTheme="majorEastAsia"/>
          <w:b/>
          <w:color w:val="auto"/>
          <w:sz w:val="32"/>
          <w:szCs w:val="32"/>
          <w:highlight w:val="none"/>
        </w:rPr>
        <w:t>授权书</w:t>
      </w:r>
    </w:p>
    <w:p>
      <w:pPr>
        <w:adjustRightInd w:val="0"/>
        <w:snapToGrid w:val="0"/>
        <w:spacing w:line="520" w:lineRule="exact"/>
        <w:rPr>
          <w:rFonts w:eastAsia="仿宋_GB2312"/>
          <w:color w:val="auto"/>
          <w:sz w:val="28"/>
          <w:szCs w:val="28"/>
          <w:highlight w:val="none"/>
        </w:rPr>
      </w:pPr>
    </w:p>
    <w:p>
      <w:pPr>
        <w:spacing w:line="52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u w:val="single"/>
        </w:rPr>
        <w:t>广西祥立工程咨询有限责任公司</w:t>
      </w:r>
      <w:r>
        <w:rPr>
          <w:rFonts w:asciiTheme="majorEastAsia" w:hAnsiTheme="majorEastAsia" w:eastAsiaTheme="majorEastAsia"/>
          <w:color w:val="auto"/>
          <w:sz w:val="24"/>
          <w:highlight w:val="none"/>
        </w:rPr>
        <w:t>：</w:t>
      </w:r>
    </w:p>
    <w:p>
      <w:pPr>
        <w:spacing w:line="5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兹授权</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同志为我公司参加贵单位组织的</w:t>
      </w:r>
      <w:r>
        <w:rPr>
          <w:rFonts w:asciiTheme="majorEastAsia" w:hAnsiTheme="majorEastAsia" w:eastAsiaTheme="majorEastAsia"/>
          <w:color w:val="auto"/>
          <w:sz w:val="24"/>
          <w:highlight w:val="none"/>
          <w:u w:val="single"/>
        </w:rPr>
        <w:t>（项    目    名   称）</w:t>
      </w:r>
      <w:r>
        <w:rPr>
          <w:rFonts w:asciiTheme="majorEastAsia" w:hAnsiTheme="majorEastAsia" w:eastAsiaTheme="majorEastAsia"/>
          <w:color w:val="auto"/>
          <w:sz w:val="24"/>
          <w:highlight w:val="none"/>
        </w:rPr>
        <w:t>采购活动的竞标代表人，全权代表我公司处理在该项目活动中的一切事宜。代理期限从</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年</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月</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日起至</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年</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月</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 xml:space="preserve">日止。 </w:t>
      </w:r>
    </w:p>
    <w:p>
      <w:pPr>
        <w:spacing w:line="520" w:lineRule="exact"/>
        <w:rPr>
          <w:rFonts w:asciiTheme="majorEastAsia" w:hAnsiTheme="majorEastAsia" w:eastAsiaTheme="majorEastAsia"/>
          <w:color w:val="auto"/>
          <w:sz w:val="24"/>
          <w:highlight w:val="none"/>
        </w:rPr>
      </w:pPr>
    </w:p>
    <w:p>
      <w:pPr>
        <w:spacing w:line="52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授权单位（签章）：</w:t>
      </w:r>
      <w:r>
        <w:rPr>
          <w:rFonts w:asciiTheme="majorEastAsia" w:hAnsiTheme="majorEastAsia" w:eastAsiaTheme="majorEastAsia"/>
          <w:color w:val="auto"/>
          <w:sz w:val="24"/>
          <w:highlight w:val="none"/>
          <w:u w:val="single"/>
        </w:rPr>
        <w:t xml:space="preserve">               </w:t>
      </w:r>
    </w:p>
    <w:p>
      <w:pPr>
        <w:spacing w:line="520" w:lineRule="exact"/>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（签字或盖章）：</w:t>
      </w:r>
      <w:r>
        <w:rPr>
          <w:rFonts w:asciiTheme="majorEastAsia" w:hAnsiTheme="majorEastAsia" w:eastAsiaTheme="majorEastAsia"/>
          <w:color w:val="auto"/>
          <w:sz w:val="24"/>
          <w:highlight w:val="none"/>
          <w:u w:val="single"/>
        </w:rPr>
        <w:t xml:space="preserve">       </w:t>
      </w:r>
    </w:p>
    <w:p>
      <w:pPr>
        <w:spacing w:line="52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签发日期：</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年</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月</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日</w:t>
      </w:r>
    </w:p>
    <w:p>
      <w:pPr>
        <w:spacing w:line="520" w:lineRule="exact"/>
        <w:rPr>
          <w:rFonts w:asciiTheme="majorEastAsia" w:hAnsiTheme="majorEastAsia" w:eastAsiaTheme="majorEastAsia"/>
          <w:color w:val="auto"/>
          <w:sz w:val="24"/>
          <w:highlight w:val="none"/>
        </w:rPr>
      </w:pPr>
    </w:p>
    <w:p>
      <w:pPr>
        <w:spacing w:line="5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附：代理人工作单位：</w:t>
      </w:r>
      <w:r>
        <w:rPr>
          <w:rFonts w:asciiTheme="majorEastAsia" w:hAnsiTheme="majorEastAsia" w:eastAsiaTheme="majorEastAsia"/>
          <w:color w:val="auto"/>
          <w:sz w:val="24"/>
          <w:highlight w:val="none"/>
          <w:u w:val="single"/>
        </w:rPr>
        <w:t xml:space="preserve">                     </w:t>
      </w:r>
    </w:p>
    <w:p>
      <w:pPr>
        <w:spacing w:line="5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职务：</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 xml:space="preserve">      性别：</w:t>
      </w:r>
      <w:r>
        <w:rPr>
          <w:rFonts w:asciiTheme="majorEastAsia" w:hAnsiTheme="majorEastAsia" w:eastAsiaTheme="majorEastAsia"/>
          <w:color w:val="auto"/>
          <w:sz w:val="24"/>
          <w:highlight w:val="none"/>
          <w:u w:val="single"/>
        </w:rPr>
        <w:t xml:space="preserve">    </w:t>
      </w:r>
    </w:p>
    <w:p>
      <w:pPr>
        <w:adjustRightInd w:val="0"/>
        <w:snapToGrid w:val="0"/>
        <w:spacing w:line="52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身份证号码：</w:t>
      </w:r>
      <w:r>
        <w:rPr>
          <w:rFonts w:asciiTheme="majorEastAsia" w:hAnsiTheme="majorEastAsia" w:eastAsiaTheme="majorEastAsia"/>
          <w:color w:val="auto"/>
          <w:sz w:val="24"/>
          <w:highlight w:val="none"/>
          <w:u w:val="single"/>
        </w:rPr>
        <w:t xml:space="preserve">                              </w:t>
      </w:r>
    </w:p>
    <w:p>
      <w:pPr>
        <w:adjustRightInd w:val="0"/>
        <w:snapToGrid w:val="0"/>
        <w:spacing w:line="520" w:lineRule="exact"/>
        <w:ind w:firstLine="480" w:firstLineChars="200"/>
        <w:rPr>
          <w:rFonts w:asciiTheme="majorEastAsia" w:hAnsiTheme="majorEastAsia" w:eastAsiaTheme="majorEastAsia"/>
          <w:color w:val="auto"/>
          <w:sz w:val="24"/>
          <w:highlight w:val="none"/>
          <w:u w:val="single"/>
        </w:rPr>
      </w:pPr>
    </w:p>
    <w:tbl>
      <w:tblPr>
        <w:tblStyle w:val="14"/>
        <w:tblW w:w="83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3" w:hRule="atLeast"/>
          <w:jc w:val="center"/>
        </w:trPr>
        <w:tc>
          <w:tcPr>
            <w:tcW w:w="8350" w:type="dxa"/>
          </w:tcPr>
          <w:p>
            <w:pPr>
              <w:spacing w:line="300" w:lineRule="auto"/>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被授权人身份证（复印件）</w:t>
            </w:r>
          </w:p>
        </w:tc>
      </w:tr>
    </w:tbl>
    <w:p>
      <w:pPr>
        <w:autoSpaceDE w:val="0"/>
        <w:autoSpaceDN w:val="0"/>
        <w:spacing w:line="300" w:lineRule="auto"/>
        <w:rPr>
          <w:rFonts w:asciiTheme="majorEastAsia" w:hAnsiTheme="majorEastAsia" w:eastAsiaTheme="majorEastAsia"/>
          <w:b/>
          <w:color w:val="auto"/>
          <w:sz w:val="24"/>
          <w:highlight w:val="none"/>
        </w:rPr>
      </w:pPr>
    </w:p>
    <w:p>
      <w:pPr>
        <w:autoSpaceDE w:val="0"/>
        <w:autoSpaceDN w:val="0"/>
        <w:spacing w:line="300" w:lineRule="auto"/>
        <w:rPr>
          <w:rFonts w:asciiTheme="majorEastAsia" w:hAnsiTheme="majorEastAsia" w:eastAsiaTheme="majorEastAsia"/>
          <w:b/>
          <w:color w:val="auto"/>
          <w:sz w:val="24"/>
          <w:highlight w:val="none"/>
        </w:rPr>
      </w:pPr>
    </w:p>
    <w:p>
      <w:pPr>
        <w:autoSpaceDE w:val="0"/>
        <w:autoSpaceDN w:val="0"/>
        <w:spacing w:line="300" w:lineRule="auto"/>
        <w:rPr>
          <w:rFonts w:eastAsia="仿宋_GB2312"/>
          <w:color w:val="auto"/>
          <w:sz w:val="24"/>
          <w:highlight w:val="none"/>
        </w:rPr>
      </w:pPr>
    </w:p>
    <w:p>
      <w:pPr>
        <w:pStyle w:val="2"/>
        <w:rPr>
          <w:color w:val="auto"/>
          <w:highlight w:val="none"/>
        </w:rPr>
      </w:pPr>
    </w:p>
    <w:p>
      <w:pPr>
        <w:autoSpaceDE w:val="0"/>
        <w:autoSpaceDN w:val="0"/>
        <w:spacing w:line="300" w:lineRule="auto"/>
        <w:rPr>
          <w:rFonts w:eastAsia="仿宋_GB2312"/>
          <w:color w:val="auto"/>
          <w:sz w:val="24"/>
          <w:highlight w:val="none"/>
        </w:rPr>
      </w:pPr>
    </w:p>
    <w:p>
      <w:pPr>
        <w:autoSpaceDE w:val="0"/>
        <w:autoSpaceDN w:val="0"/>
        <w:spacing w:line="300" w:lineRule="auto"/>
        <w:rPr>
          <w:rFonts w:eastAsia="仿宋_GB2312"/>
          <w:color w:val="auto"/>
          <w:sz w:val="24"/>
          <w:highlight w:val="none"/>
        </w:rPr>
      </w:pPr>
    </w:p>
    <w:p>
      <w:pPr>
        <w:pStyle w:val="2"/>
        <w:ind w:firstLine="0"/>
        <w:rPr>
          <w:color w:val="auto"/>
          <w:highlight w:val="none"/>
        </w:rPr>
      </w:pPr>
    </w:p>
    <w:p>
      <w:pPr>
        <w:pStyle w:val="9"/>
        <w:spacing w:line="400" w:lineRule="exact"/>
        <w:jc w:val="center"/>
        <w:rPr>
          <w:rFonts w:asciiTheme="majorEastAsia" w:hAnsiTheme="majorEastAsia" w:eastAsiaTheme="majorEastAsia"/>
          <w:b/>
          <w:color w:val="auto"/>
          <w:sz w:val="32"/>
          <w:szCs w:val="32"/>
          <w:highlight w:val="none"/>
        </w:rPr>
      </w:pPr>
      <w:r>
        <w:rPr>
          <w:rFonts w:asciiTheme="majorEastAsia" w:hAnsiTheme="majorEastAsia" w:eastAsiaTheme="majorEastAsia"/>
          <w:b/>
          <w:color w:val="auto"/>
          <w:sz w:val="32"/>
          <w:szCs w:val="32"/>
          <w:highlight w:val="none"/>
        </w:rPr>
        <w:t>其 他 文 件</w:t>
      </w:r>
    </w:p>
    <w:p>
      <w:pPr>
        <w:spacing w:line="420" w:lineRule="exact"/>
        <w:ind w:firstLine="56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一、资格证明文件</w:t>
      </w:r>
    </w:p>
    <w:p>
      <w:pPr>
        <w:spacing w:line="420" w:lineRule="exact"/>
        <w:ind w:firstLine="56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提供以下证明文件的加盖公章复印件</w:t>
      </w:r>
    </w:p>
    <w:p>
      <w:pPr>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w:t>
      </w:r>
      <w:r>
        <w:rPr>
          <w:rFonts w:hint="eastAsia" w:asciiTheme="majorEastAsia" w:hAnsiTheme="majorEastAsia" w:eastAsiaTheme="majorEastAsia"/>
          <w:color w:val="auto"/>
          <w:sz w:val="24"/>
          <w:highlight w:val="none"/>
        </w:rPr>
        <w:t>．竞标保证金缴纳证明</w:t>
      </w:r>
      <w:r>
        <w:rPr>
          <w:rFonts w:asciiTheme="majorEastAsia" w:hAnsiTheme="majorEastAsia" w:eastAsiaTheme="majorEastAsia"/>
          <w:color w:val="auto"/>
          <w:sz w:val="24"/>
          <w:highlight w:val="none"/>
        </w:rPr>
        <w:t>（必须提供，否则竞标无效，不能进入下一阶段谈判）；</w:t>
      </w:r>
    </w:p>
    <w:p>
      <w:pPr>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谈判书；（附件一）（必须提供，否则竞标无效，不能进入下一阶段谈判）；</w:t>
      </w:r>
    </w:p>
    <w:p>
      <w:pPr>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技术偏离、商务响应情况说明表；（附件三）（必须提供，否则竞标无效，不能进入下一阶段谈判）；</w:t>
      </w:r>
    </w:p>
    <w:p>
      <w:pPr>
        <w:pStyle w:val="2"/>
        <w:rPr>
          <w:highlight w:val="none"/>
        </w:rPr>
      </w:pPr>
    </w:p>
    <w:p>
      <w:pPr>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w:t>
      </w:r>
      <w:r>
        <w:rPr>
          <w:rFonts w:hint="eastAsia" w:asciiTheme="majorEastAsia" w:hAnsiTheme="majorEastAsia" w:eastAsiaTheme="majorEastAsia"/>
          <w:color w:val="auto"/>
          <w:sz w:val="24"/>
          <w:highlight w:val="none"/>
        </w:rPr>
        <w:t>．营业执照副本复印件(如未办理“三证合一”的还需提供组织机构代码证复印件及税务登记证复印件)</w:t>
      </w:r>
      <w:r>
        <w:rPr>
          <w:rFonts w:asciiTheme="majorEastAsia" w:hAnsiTheme="majorEastAsia" w:eastAsiaTheme="majorEastAsia"/>
          <w:color w:val="auto"/>
          <w:sz w:val="24"/>
          <w:highlight w:val="none"/>
        </w:rPr>
        <w:t>（必须提供，否则竞标无效，不能进入下一阶段谈判）；</w:t>
      </w:r>
    </w:p>
    <w:p>
      <w:pPr>
        <w:spacing w:line="400" w:lineRule="exact"/>
        <w:ind w:firstLine="480" w:firstLineChars="20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5．</w:t>
      </w:r>
      <w:r>
        <w:rPr>
          <w:rFonts w:asciiTheme="majorEastAsia" w:hAnsiTheme="majorEastAsia" w:eastAsiaTheme="majorEastAsia"/>
          <w:color w:val="auto"/>
          <w:sz w:val="24"/>
          <w:highlight w:val="none"/>
        </w:rPr>
        <w:t>有效的</w:t>
      </w: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身份证复印件（时必须提供，否则竞标无效，不能进入下一阶段谈判）；</w:t>
      </w:r>
    </w:p>
    <w:p>
      <w:pPr>
        <w:spacing w:line="400" w:lineRule="exact"/>
        <w:ind w:firstLine="480" w:firstLineChars="20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6．</w:t>
      </w:r>
      <w:r>
        <w:rPr>
          <w:rFonts w:asciiTheme="majorEastAsia" w:hAnsiTheme="majorEastAsia" w:eastAsiaTheme="majorEastAsia"/>
          <w:color w:val="auto"/>
          <w:sz w:val="24"/>
          <w:highlight w:val="none"/>
        </w:rPr>
        <w:t>有效的</w:t>
      </w: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授权书原件和有效的委托代理人身份证复印件（附件四）（委托代理必须提供，否则竞标无效，不能进入下一阶段谈判）；</w:t>
      </w:r>
    </w:p>
    <w:p>
      <w:pPr>
        <w:spacing w:line="400" w:lineRule="exact"/>
        <w:ind w:firstLine="480" w:firstLineChars="20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7．</w:t>
      </w:r>
      <w:r>
        <w:rPr>
          <w:rFonts w:hint="eastAsia" w:hAnsi="宋体" w:cs="宋体"/>
          <w:color w:val="auto"/>
          <w:szCs w:val="21"/>
          <w:highlight w:val="none"/>
        </w:rPr>
        <w:t>竞标保证金银行转账或电汇底单复印件(加盖公章)</w:t>
      </w:r>
      <w:r>
        <w:rPr>
          <w:rFonts w:hint="eastAsia" w:hAnsi="宋体" w:cs="宋体"/>
          <w:color w:val="auto"/>
          <w:szCs w:val="21"/>
          <w:highlight w:val="none"/>
          <w:lang w:eastAsia="zh-CN"/>
        </w:rPr>
        <w:t>、到账证明</w:t>
      </w:r>
      <w:r>
        <w:rPr>
          <w:rFonts w:hint="eastAsia" w:ascii="宋体" w:hAnsi="宋体" w:cs="宋体"/>
          <w:color w:val="auto"/>
          <w:sz w:val="21"/>
          <w:szCs w:val="21"/>
          <w:highlight w:val="none"/>
        </w:rPr>
        <w:t>收据</w:t>
      </w:r>
      <w:r>
        <w:rPr>
          <w:rFonts w:hint="eastAsia" w:hAnsi="宋体" w:cs="宋体"/>
          <w:color w:val="auto"/>
          <w:sz w:val="21"/>
          <w:szCs w:val="21"/>
          <w:highlight w:val="none"/>
          <w:lang w:eastAsia="zh-CN"/>
        </w:rPr>
        <w:t>和</w:t>
      </w:r>
      <w:r>
        <w:rPr>
          <w:rFonts w:hAnsi="宋体" w:cs="宋体"/>
          <w:color w:val="auto"/>
          <w:szCs w:val="21"/>
          <w:highlight w:val="none"/>
        </w:rPr>
        <w:t>有效的开户许可证复印件（必须提供，否则竞标无效，不能进入下一阶段谈判）</w:t>
      </w:r>
      <w:r>
        <w:rPr>
          <w:rFonts w:asciiTheme="majorEastAsia" w:hAnsiTheme="majorEastAsia" w:eastAsiaTheme="majorEastAsia"/>
          <w:color w:val="auto"/>
          <w:sz w:val="24"/>
          <w:highlight w:val="none"/>
        </w:rPr>
        <w:t>；</w:t>
      </w:r>
    </w:p>
    <w:p>
      <w:pPr>
        <w:spacing w:line="400" w:lineRule="exact"/>
        <w:ind w:firstLine="480" w:firstLineChars="20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8．</w:t>
      </w:r>
      <w:r>
        <w:rPr>
          <w:rFonts w:asciiTheme="majorEastAsia" w:hAnsiTheme="majorEastAsia" w:eastAsiaTheme="majorEastAsia"/>
          <w:color w:val="auto"/>
          <w:sz w:val="24"/>
          <w:highlight w:val="none"/>
        </w:rPr>
        <w:t>近三年无重大违法、违规行为的声明书（格式自拟，必须提供，否则竞标无效，不能进入下一阶段谈判）；</w:t>
      </w:r>
    </w:p>
    <w:p>
      <w:pPr>
        <w:spacing w:line="400" w:lineRule="exact"/>
        <w:ind w:firstLine="480" w:firstLineChars="20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9．竞标前半年内连续三个月</w:t>
      </w:r>
      <w:r>
        <w:rPr>
          <w:rFonts w:asciiTheme="majorEastAsia" w:hAnsiTheme="majorEastAsia" w:eastAsiaTheme="majorEastAsia"/>
          <w:color w:val="auto"/>
          <w:sz w:val="24"/>
          <w:highlight w:val="none"/>
        </w:rPr>
        <w:t>依法缴纳税收证明〔连续缴纳税费凭证复印件，或者依法连续缴纳税费或依法免缴税费的证明（复印件，</w:t>
      </w:r>
      <w:r>
        <w:rPr>
          <w:rFonts w:hint="eastAsia" w:asciiTheme="majorEastAsia" w:hAnsiTheme="majorEastAsia" w:eastAsiaTheme="majorEastAsia"/>
          <w:color w:val="auto"/>
          <w:sz w:val="24"/>
          <w:highlight w:val="none"/>
          <w:lang w:eastAsia="zh-CN"/>
        </w:rPr>
        <w:t>半年</w:t>
      </w:r>
      <w:r>
        <w:rPr>
          <w:rFonts w:asciiTheme="majorEastAsia" w:hAnsiTheme="majorEastAsia" w:eastAsiaTheme="majorEastAsia"/>
          <w:color w:val="auto"/>
          <w:sz w:val="24"/>
          <w:highlight w:val="none"/>
        </w:rPr>
        <w:t>内有效，格式可自拟），无税额月份应提供零申报证明，无纳税记录的，应提供由</w:t>
      </w:r>
      <w:r>
        <w:rPr>
          <w:rFonts w:hint="eastAsia" w:asciiTheme="majorEastAsia" w:hAnsiTheme="majorEastAsia" w:eastAsiaTheme="majorEastAsia"/>
          <w:color w:val="auto"/>
          <w:sz w:val="24"/>
          <w:highlight w:val="none"/>
        </w:rPr>
        <w:t>竞</w:t>
      </w:r>
      <w:r>
        <w:rPr>
          <w:rFonts w:asciiTheme="majorEastAsia" w:hAnsiTheme="majorEastAsia" w:eastAsiaTheme="majorEastAsia"/>
          <w:color w:val="auto"/>
          <w:sz w:val="24"/>
          <w:highlight w:val="none"/>
        </w:rPr>
        <w:t>标人所在地主管国税、地税部门出具的《依法纳税或依法免税证明》〕（必须提供，否则竞标无效）；</w:t>
      </w:r>
    </w:p>
    <w:p>
      <w:pPr>
        <w:spacing w:line="400" w:lineRule="exact"/>
        <w:ind w:firstLine="480" w:firstLineChars="200"/>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rPr>
        <w:t>10．竞标前半年内连续三个月</w:t>
      </w:r>
      <w:r>
        <w:rPr>
          <w:rFonts w:asciiTheme="majorEastAsia" w:hAnsiTheme="majorEastAsia" w:eastAsiaTheme="majorEastAsia"/>
          <w:color w:val="auto"/>
          <w:sz w:val="24"/>
          <w:highlight w:val="none"/>
        </w:rPr>
        <w:t>依法缴纳社保证明（社保证明可以是经</w:t>
      </w:r>
      <w:r>
        <w:rPr>
          <w:rFonts w:hint="eastAsia" w:asciiTheme="majorEastAsia" w:hAnsiTheme="majorEastAsia" w:eastAsiaTheme="majorEastAsia"/>
          <w:color w:val="auto"/>
          <w:sz w:val="24"/>
          <w:highlight w:val="none"/>
        </w:rPr>
        <w:t>竞</w:t>
      </w:r>
      <w:r>
        <w:rPr>
          <w:rFonts w:asciiTheme="majorEastAsia" w:hAnsiTheme="majorEastAsia" w:eastAsiaTheme="majorEastAsia"/>
          <w:color w:val="auto"/>
          <w:sz w:val="24"/>
          <w:highlight w:val="none"/>
        </w:rPr>
        <w:t>标人所在地社保部门盖章确认的相关材料，也可以是银行交纳凭证等有效证明，要求提供复印件；无缴费记录的，应提供由投</w:t>
      </w:r>
      <w:r>
        <w:rPr>
          <w:rFonts w:hint="eastAsia" w:asciiTheme="majorEastAsia" w:hAnsiTheme="majorEastAsia" w:eastAsiaTheme="majorEastAsia"/>
          <w:color w:val="auto"/>
          <w:sz w:val="24"/>
          <w:highlight w:val="none"/>
        </w:rPr>
        <w:t>竞标</w:t>
      </w:r>
      <w:r>
        <w:rPr>
          <w:rFonts w:asciiTheme="majorEastAsia" w:hAnsiTheme="majorEastAsia" w:eastAsiaTheme="majorEastAsia"/>
          <w:color w:val="auto"/>
          <w:sz w:val="24"/>
          <w:highlight w:val="none"/>
        </w:rPr>
        <w:t>所在地社保部门或事业单位上级主管部门出具的《依法缴纳或依法免缴社保费证明》）（必须提供，否则竞标无效）；</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w:t>
      </w:r>
      <w:r>
        <w:rPr>
          <w:rFonts w:hint="eastAsia" w:asciiTheme="majorEastAsia" w:hAnsiTheme="majorEastAsia" w:eastAsiaTheme="majorEastAsia"/>
          <w:color w:val="auto"/>
          <w:sz w:val="24"/>
          <w:highlight w:val="none"/>
        </w:rPr>
        <w:t>1．</w:t>
      </w:r>
      <w:r>
        <w:rPr>
          <w:rFonts w:asciiTheme="majorEastAsia" w:hAnsiTheme="majorEastAsia" w:eastAsiaTheme="majorEastAsia"/>
          <w:color w:val="auto"/>
          <w:sz w:val="24"/>
          <w:highlight w:val="none"/>
        </w:rPr>
        <w:t>其它需要提供的证明材料。</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二、技术、服务文件</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货物第三方检测报告</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检测报告应由</w:t>
      </w:r>
      <w:r>
        <w:rPr>
          <w:rFonts w:hint="eastAsia" w:asciiTheme="majorEastAsia" w:hAnsiTheme="majorEastAsia" w:eastAsiaTheme="majorEastAsia"/>
          <w:color w:val="auto"/>
          <w:sz w:val="24"/>
          <w:highlight w:val="none"/>
        </w:rPr>
        <w:t>有国家认证的检测机构出具</w:t>
      </w:r>
      <w:r>
        <w:rPr>
          <w:rFonts w:asciiTheme="majorEastAsia" w:hAnsiTheme="majorEastAsia" w:eastAsiaTheme="majorEastAsia"/>
          <w:color w:val="auto"/>
          <w:sz w:val="24"/>
          <w:highlight w:val="none"/>
        </w:rPr>
        <w:t>；</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货物名称、型号、规格、数量、性能等情况；</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货物制造、检验、验收执行的标准；</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质量保证措施；</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使用保养说明书、图纸等技术资料；</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6</w:t>
      </w:r>
      <w:r>
        <w:rPr>
          <w:rFonts w:hint="eastAsia" w:asciiTheme="majorEastAsia" w:hAnsiTheme="majorEastAsia" w:eastAsiaTheme="majorEastAsia"/>
          <w:color w:val="auto"/>
          <w:sz w:val="24"/>
          <w:highlight w:val="none"/>
        </w:rPr>
        <w:t>．提供的切实可行的售后服务方案和优惠承诺</w:t>
      </w:r>
      <w:r>
        <w:rPr>
          <w:rFonts w:asciiTheme="majorEastAsia" w:hAnsiTheme="majorEastAsia" w:eastAsiaTheme="majorEastAsia"/>
          <w:color w:val="auto"/>
          <w:sz w:val="24"/>
          <w:highlight w:val="none"/>
        </w:rPr>
        <w:t>（格式自拟</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必须提供，否则竞标无效，不进入下一阶段谈判）；</w:t>
      </w:r>
    </w:p>
    <w:p>
      <w:pPr>
        <w:spacing w:line="42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7</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谈判供应商认为需要提供的有关资料。</w:t>
      </w:r>
    </w:p>
    <w:p>
      <w:pPr>
        <w:pStyle w:val="2"/>
        <w:rPr>
          <w:rFonts w:hint="eastAsia"/>
          <w:color w:val="auto"/>
          <w:highlight w:val="none"/>
        </w:rPr>
      </w:pPr>
      <w:r>
        <w:rPr>
          <w:rFonts w:asciiTheme="majorEastAsia" w:hAnsiTheme="majorEastAsia" w:eastAsiaTheme="majorEastAsia"/>
          <w:b/>
          <w:bCs/>
          <w:color w:val="auto"/>
          <w:sz w:val="32"/>
          <w:szCs w:val="32"/>
          <w:highlight w:val="none"/>
        </w:rPr>
        <w:br w:type="page"/>
      </w:r>
    </w:p>
    <w:p>
      <w:pPr>
        <w:snapToGrid w:val="0"/>
        <w:spacing w:line="400" w:lineRule="exact"/>
        <w:jc w:val="center"/>
        <w:rPr>
          <w:rFonts w:asciiTheme="majorEastAsia" w:hAnsiTheme="majorEastAsia" w:eastAsiaTheme="majorEastAsia"/>
          <w:b/>
          <w:bCs/>
          <w:color w:val="auto"/>
          <w:sz w:val="32"/>
          <w:szCs w:val="32"/>
          <w:highlight w:val="none"/>
        </w:rPr>
      </w:pPr>
      <w:r>
        <w:rPr>
          <w:rFonts w:hint="eastAsia" w:asciiTheme="majorEastAsia" w:hAnsiTheme="majorEastAsia" w:eastAsiaTheme="majorEastAsia"/>
          <w:b/>
          <w:bCs/>
          <w:color w:val="auto"/>
          <w:sz w:val="32"/>
          <w:szCs w:val="32"/>
          <w:highlight w:val="none"/>
          <w:lang w:val="en-US" w:eastAsia="zh-CN"/>
        </w:rPr>
        <w:t xml:space="preserve"> </w:t>
      </w:r>
      <w:r>
        <w:rPr>
          <w:rFonts w:asciiTheme="majorEastAsia" w:hAnsiTheme="majorEastAsia" w:eastAsiaTheme="majorEastAsia"/>
          <w:b/>
          <w:bCs/>
          <w:color w:val="auto"/>
          <w:sz w:val="32"/>
          <w:szCs w:val="32"/>
          <w:highlight w:val="none"/>
        </w:rPr>
        <w:t>第</w:t>
      </w:r>
      <w:r>
        <w:rPr>
          <w:rFonts w:hint="eastAsia" w:asciiTheme="majorEastAsia" w:hAnsiTheme="majorEastAsia" w:eastAsiaTheme="majorEastAsia"/>
          <w:b/>
          <w:bCs/>
          <w:color w:val="auto"/>
          <w:sz w:val="32"/>
          <w:szCs w:val="32"/>
          <w:highlight w:val="none"/>
        </w:rPr>
        <w:t>六</w:t>
      </w:r>
      <w:r>
        <w:rPr>
          <w:rFonts w:asciiTheme="majorEastAsia" w:hAnsiTheme="majorEastAsia" w:eastAsiaTheme="majorEastAsia"/>
          <w:b/>
          <w:bCs/>
          <w:color w:val="auto"/>
          <w:sz w:val="32"/>
          <w:szCs w:val="32"/>
          <w:highlight w:val="none"/>
        </w:rPr>
        <w:t>章    广西壮族自治区政府采购合同</w:t>
      </w:r>
    </w:p>
    <w:p>
      <w:pPr>
        <w:snapToGrid w:val="0"/>
        <w:spacing w:line="400" w:lineRule="exact"/>
        <w:ind w:right="480"/>
        <w:rPr>
          <w:rFonts w:asciiTheme="majorEastAsia" w:hAnsiTheme="majorEastAsia" w:eastAsiaTheme="majorEastAsia"/>
          <w:bCs/>
          <w:color w:val="auto"/>
          <w:sz w:val="24"/>
          <w:highlight w:val="none"/>
        </w:rPr>
      </w:pPr>
    </w:p>
    <w:p>
      <w:pPr>
        <w:snapToGrid w:val="0"/>
        <w:spacing w:line="400" w:lineRule="exact"/>
        <w:ind w:right="480"/>
        <w:rPr>
          <w:rFonts w:asciiTheme="majorEastAsia" w:hAnsiTheme="majorEastAsia" w:eastAsiaTheme="majorEastAsia"/>
          <w:bCs/>
          <w:color w:val="auto"/>
          <w:sz w:val="24"/>
          <w:highlight w:val="none"/>
          <w:u w:val="single"/>
        </w:rPr>
      </w:pPr>
      <w:r>
        <w:rPr>
          <w:rFonts w:asciiTheme="majorEastAsia" w:hAnsiTheme="majorEastAsia" w:eastAsiaTheme="majorEastAsia"/>
          <w:bCs/>
          <w:color w:val="auto"/>
          <w:sz w:val="24"/>
          <w:highlight w:val="none"/>
        </w:rPr>
        <w:t>合同编号：</w:t>
      </w:r>
    </w:p>
    <w:p>
      <w:pPr>
        <w:snapToGrid w:val="0"/>
        <w:spacing w:line="400" w:lineRule="exact"/>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采购单位（甲方）</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 xml:space="preserve">      </w:t>
      </w:r>
      <w:r>
        <w:rPr>
          <w:rFonts w:hint="eastAsia" w:asciiTheme="majorEastAsia" w:hAnsiTheme="majorEastAsia" w:eastAsiaTheme="majorEastAsia"/>
          <w:color w:val="auto"/>
          <w:sz w:val="24"/>
          <w:highlight w:val="none"/>
        </w:rPr>
        <w:t>采购计划编号</w:t>
      </w:r>
      <w:r>
        <w:rPr>
          <w:rFonts w:hint="eastAsia" w:asciiTheme="majorEastAsia" w:hAnsiTheme="majorEastAsia" w:eastAsiaTheme="majorEastAsia"/>
          <w:color w:val="auto"/>
          <w:spacing w:val="-20"/>
          <w:sz w:val="24"/>
          <w:highlight w:val="none"/>
          <w:u w:val="single"/>
        </w:rPr>
        <w:t xml:space="preserve">                 </w:t>
      </w:r>
    </w:p>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供 应 商（乙方）</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 xml:space="preserve">      </w:t>
      </w:r>
      <w:r>
        <w:rPr>
          <w:rFonts w:asciiTheme="majorEastAsia" w:hAnsiTheme="majorEastAsia" w:eastAsiaTheme="majorEastAsia"/>
          <w:color w:val="auto"/>
          <w:spacing w:val="-20"/>
          <w:sz w:val="24"/>
          <w:highlight w:val="none"/>
        </w:rPr>
        <w:t xml:space="preserve">项 目 编 号  </w:t>
      </w:r>
      <w:r>
        <w:rPr>
          <w:rFonts w:hint="eastAsia" w:asciiTheme="majorEastAsia" w:hAnsiTheme="majorEastAsia" w:eastAsiaTheme="majorEastAsia"/>
          <w:color w:val="auto"/>
          <w:spacing w:val="-20"/>
          <w:sz w:val="24"/>
          <w:highlight w:val="none"/>
          <w:u w:val="single"/>
        </w:rPr>
        <w:t xml:space="preserve">                      </w:t>
      </w:r>
    </w:p>
    <w:p>
      <w:pPr>
        <w:snapToGrid w:val="0"/>
        <w:spacing w:line="400" w:lineRule="exact"/>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 xml:space="preserve">签  订  地  点  </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 xml:space="preserve">      签 订 时 间</w:t>
      </w:r>
      <w:r>
        <w:rPr>
          <w:rFonts w:asciiTheme="majorEastAsia" w:hAnsiTheme="majorEastAsia" w:eastAsiaTheme="majorEastAsia"/>
          <w:color w:val="auto"/>
          <w:sz w:val="24"/>
          <w:highlight w:val="none"/>
          <w:u w:val="single"/>
        </w:rPr>
        <w:t xml:space="preserve">             </w:t>
      </w:r>
    </w:p>
    <w:p>
      <w:pPr>
        <w:snapToGrid w:val="0"/>
        <w:spacing w:line="400" w:lineRule="exact"/>
        <w:ind w:firstLine="480" w:firstLineChars="200"/>
        <w:rPr>
          <w:rFonts w:asciiTheme="majorEastAsia" w:hAnsiTheme="majorEastAsia" w:eastAsiaTheme="majorEastAsia"/>
          <w:color w:val="auto"/>
          <w:sz w:val="24"/>
          <w:highlight w:val="none"/>
        </w:rPr>
      </w:pP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根据《中华人民共和国政府采购法》、《中华人民共和国合同法》等法律、法规规定，按照招竞标文件（采购文件）规定条款和成交（成交）供应商承诺，甲乙双方签订本合同。</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第一条　合同标的</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1、供货一览表</w:t>
      </w:r>
    </w:p>
    <w:tbl>
      <w:tblPr>
        <w:tblStyle w:val="14"/>
        <w:tblW w:w="86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259"/>
        <w:gridCol w:w="1048"/>
        <w:gridCol w:w="1155"/>
        <w:gridCol w:w="1154"/>
        <w:gridCol w:w="494"/>
        <w:gridCol w:w="494"/>
        <w:gridCol w:w="1185"/>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0" w:hRule="atLeast"/>
          <w:jc w:val="center"/>
        </w:trPr>
        <w:tc>
          <w:tcPr>
            <w:tcW w:w="696"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序号</w:t>
            </w:r>
          </w:p>
        </w:tc>
        <w:tc>
          <w:tcPr>
            <w:tcW w:w="1259"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产品</w:t>
            </w:r>
          </w:p>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名称</w:t>
            </w:r>
          </w:p>
        </w:tc>
        <w:tc>
          <w:tcPr>
            <w:tcW w:w="1048"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商标</w:t>
            </w:r>
          </w:p>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品牌</w:t>
            </w:r>
          </w:p>
        </w:tc>
        <w:tc>
          <w:tcPr>
            <w:tcW w:w="1155"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规格</w:t>
            </w:r>
          </w:p>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型号</w:t>
            </w:r>
          </w:p>
        </w:tc>
        <w:tc>
          <w:tcPr>
            <w:tcW w:w="1154"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生产</w:t>
            </w:r>
          </w:p>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厂家</w:t>
            </w:r>
          </w:p>
        </w:tc>
        <w:tc>
          <w:tcPr>
            <w:tcW w:w="494"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数  量</w:t>
            </w:r>
          </w:p>
        </w:tc>
        <w:tc>
          <w:tcPr>
            <w:tcW w:w="494"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单位</w:t>
            </w:r>
          </w:p>
        </w:tc>
        <w:tc>
          <w:tcPr>
            <w:tcW w:w="1185"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单  价</w:t>
            </w:r>
          </w:p>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（元）</w:t>
            </w:r>
          </w:p>
        </w:tc>
        <w:tc>
          <w:tcPr>
            <w:tcW w:w="1186"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金  额</w:t>
            </w:r>
          </w:p>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696"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w:t>
            </w:r>
          </w:p>
        </w:tc>
        <w:tc>
          <w:tcPr>
            <w:tcW w:w="1259"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048"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55"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54" w:type="dxa"/>
          </w:tcPr>
          <w:p>
            <w:pPr>
              <w:snapToGrid w:val="0"/>
              <w:spacing w:line="400" w:lineRule="exact"/>
              <w:jc w:val="center"/>
              <w:rPr>
                <w:rFonts w:asciiTheme="majorEastAsia" w:hAnsiTheme="majorEastAsia" w:eastAsiaTheme="majorEastAsia"/>
                <w:color w:val="auto"/>
                <w:sz w:val="24"/>
                <w:highlight w:val="none"/>
              </w:rPr>
            </w:pPr>
          </w:p>
        </w:tc>
        <w:tc>
          <w:tcPr>
            <w:tcW w:w="494" w:type="dxa"/>
          </w:tcPr>
          <w:p>
            <w:pPr>
              <w:snapToGrid w:val="0"/>
              <w:spacing w:line="400" w:lineRule="exact"/>
              <w:jc w:val="center"/>
              <w:rPr>
                <w:rFonts w:asciiTheme="majorEastAsia" w:hAnsiTheme="majorEastAsia" w:eastAsiaTheme="majorEastAsia"/>
                <w:color w:val="auto"/>
                <w:sz w:val="24"/>
                <w:highlight w:val="none"/>
              </w:rPr>
            </w:pPr>
          </w:p>
        </w:tc>
        <w:tc>
          <w:tcPr>
            <w:tcW w:w="494" w:type="dxa"/>
          </w:tcPr>
          <w:p>
            <w:pPr>
              <w:snapToGrid w:val="0"/>
              <w:spacing w:line="400" w:lineRule="exact"/>
              <w:jc w:val="center"/>
              <w:rPr>
                <w:rFonts w:asciiTheme="majorEastAsia" w:hAnsiTheme="majorEastAsia" w:eastAsiaTheme="majorEastAsia"/>
                <w:color w:val="auto"/>
                <w:sz w:val="24"/>
                <w:highlight w:val="none"/>
              </w:rPr>
            </w:pPr>
          </w:p>
        </w:tc>
        <w:tc>
          <w:tcPr>
            <w:tcW w:w="1185"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86" w:type="dxa"/>
            <w:vAlign w:val="center"/>
          </w:tcPr>
          <w:p>
            <w:pPr>
              <w:snapToGrid w:val="0"/>
              <w:spacing w:line="400" w:lineRule="exact"/>
              <w:jc w:val="center"/>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696"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w:t>
            </w:r>
          </w:p>
        </w:tc>
        <w:tc>
          <w:tcPr>
            <w:tcW w:w="1259"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048"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55"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54" w:type="dxa"/>
          </w:tcPr>
          <w:p>
            <w:pPr>
              <w:snapToGrid w:val="0"/>
              <w:spacing w:line="400" w:lineRule="exact"/>
              <w:jc w:val="center"/>
              <w:rPr>
                <w:rFonts w:asciiTheme="majorEastAsia" w:hAnsiTheme="majorEastAsia" w:eastAsiaTheme="majorEastAsia"/>
                <w:color w:val="auto"/>
                <w:sz w:val="24"/>
                <w:highlight w:val="none"/>
              </w:rPr>
            </w:pPr>
          </w:p>
        </w:tc>
        <w:tc>
          <w:tcPr>
            <w:tcW w:w="494" w:type="dxa"/>
          </w:tcPr>
          <w:p>
            <w:pPr>
              <w:snapToGrid w:val="0"/>
              <w:spacing w:line="400" w:lineRule="exact"/>
              <w:jc w:val="center"/>
              <w:rPr>
                <w:rFonts w:asciiTheme="majorEastAsia" w:hAnsiTheme="majorEastAsia" w:eastAsiaTheme="majorEastAsia"/>
                <w:color w:val="auto"/>
                <w:sz w:val="24"/>
                <w:highlight w:val="none"/>
              </w:rPr>
            </w:pPr>
          </w:p>
        </w:tc>
        <w:tc>
          <w:tcPr>
            <w:tcW w:w="494" w:type="dxa"/>
          </w:tcPr>
          <w:p>
            <w:pPr>
              <w:snapToGrid w:val="0"/>
              <w:spacing w:line="400" w:lineRule="exact"/>
              <w:jc w:val="center"/>
              <w:rPr>
                <w:rFonts w:asciiTheme="majorEastAsia" w:hAnsiTheme="majorEastAsia" w:eastAsiaTheme="majorEastAsia"/>
                <w:color w:val="auto"/>
                <w:sz w:val="24"/>
                <w:highlight w:val="none"/>
              </w:rPr>
            </w:pPr>
          </w:p>
        </w:tc>
        <w:tc>
          <w:tcPr>
            <w:tcW w:w="1185"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86" w:type="dxa"/>
            <w:vAlign w:val="center"/>
          </w:tcPr>
          <w:p>
            <w:pPr>
              <w:snapToGrid w:val="0"/>
              <w:spacing w:line="400" w:lineRule="exact"/>
              <w:jc w:val="center"/>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696" w:type="dxa"/>
            <w:vAlign w:val="center"/>
          </w:tcPr>
          <w:p>
            <w:pPr>
              <w:snapToGrid w:val="0"/>
              <w:spacing w:line="400" w:lineRule="exact"/>
              <w:jc w:val="center"/>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w:t>
            </w:r>
          </w:p>
        </w:tc>
        <w:tc>
          <w:tcPr>
            <w:tcW w:w="1259"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048"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55"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54" w:type="dxa"/>
          </w:tcPr>
          <w:p>
            <w:pPr>
              <w:snapToGrid w:val="0"/>
              <w:spacing w:line="400" w:lineRule="exact"/>
              <w:jc w:val="center"/>
              <w:rPr>
                <w:rFonts w:asciiTheme="majorEastAsia" w:hAnsiTheme="majorEastAsia" w:eastAsiaTheme="majorEastAsia"/>
                <w:color w:val="auto"/>
                <w:sz w:val="24"/>
                <w:highlight w:val="none"/>
              </w:rPr>
            </w:pPr>
          </w:p>
        </w:tc>
        <w:tc>
          <w:tcPr>
            <w:tcW w:w="494" w:type="dxa"/>
          </w:tcPr>
          <w:p>
            <w:pPr>
              <w:snapToGrid w:val="0"/>
              <w:spacing w:line="400" w:lineRule="exact"/>
              <w:jc w:val="center"/>
              <w:rPr>
                <w:rFonts w:asciiTheme="majorEastAsia" w:hAnsiTheme="majorEastAsia" w:eastAsiaTheme="majorEastAsia"/>
                <w:color w:val="auto"/>
                <w:sz w:val="24"/>
                <w:highlight w:val="none"/>
              </w:rPr>
            </w:pPr>
          </w:p>
        </w:tc>
        <w:tc>
          <w:tcPr>
            <w:tcW w:w="494" w:type="dxa"/>
          </w:tcPr>
          <w:p>
            <w:pPr>
              <w:snapToGrid w:val="0"/>
              <w:spacing w:line="400" w:lineRule="exact"/>
              <w:jc w:val="center"/>
              <w:rPr>
                <w:rFonts w:asciiTheme="majorEastAsia" w:hAnsiTheme="majorEastAsia" w:eastAsiaTheme="majorEastAsia"/>
                <w:color w:val="auto"/>
                <w:sz w:val="24"/>
                <w:highlight w:val="none"/>
              </w:rPr>
            </w:pPr>
          </w:p>
        </w:tc>
        <w:tc>
          <w:tcPr>
            <w:tcW w:w="1185" w:type="dxa"/>
            <w:vAlign w:val="center"/>
          </w:tcPr>
          <w:p>
            <w:pPr>
              <w:snapToGrid w:val="0"/>
              <w:spacing w:line="400" w:lineRule="exact"/>
              <w:jc w:val="center"/>
              <w:rPr>
                <w:rFonts w:asciiTheme="majorEastAsia" w:hAnsiTheme="majorEastAsia" w:eastAsiaTheme="majorEastAsia"/>
                <w:color w:val="auto"/>
                <w:sz w:val="24"/>
                <w:highlight w:val="none"/>
              </w:rPr>
            </w:pPr>
          </w:p>
        </w:tc>
        <w:tc>
          <w:tcPr>
            <w:tcW w:w="1186" w:type="dxa"/>
            <w:vAlign w:val="center"/>
          </w:tcPr>
          <w:p>
            <w:pPr>
              <w:snapToGrid w:val="0"/>
              <w:spacing w:line="400" w:lineRule="exact"/>
              <w:jc w:val="center"/>
              <w:rPr>
                <w:rFonts w:asciiTheme="majorEastAsia" w:hAnsiTheme="majorEastAsia" w:eastAsiaTheme="maj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8671" w:type="dxa"/>
            <w:gridSpan w:val="9"/>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 xml:space="preserve">人民币合计金额（大写）                          （小写）                 </w:t>
            </w:r>
          </w:p>
        </w:tc>
      </w:tr>
    </w:tbl>
    <w:p>
      <w:pPr>
        <w:snapToGrid w:val="0"/>
        <w:spacing w:line="400" w:lineRule="exact"/>
        <w:ind w:right="420"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2、合同合计金额包括货物价款，备件、专用工具、安装、调试、检验、技术培训及技术资料和包装、运输等全部费用。如招竞标文件对其另有规定的，从其规定。</w:t>
      </w:r>
    </w:p>
    <w:p>
      <w:pPr>
        <w:snapToGrid w:val="0"/>
        <w:spacing w:line="400" w:lineRule="exact"/>
        <w:ind w:firstLine="482" w:firstLineChars="200"/>
        <w:rPr>
          <w:rFonts w:asciiTheme="majorEastAsia" w:hAnsiTheme="majorEastAsia" w:eastAsiaTheme="majorEastAsia"/>
          <w:color w:val="auto"/>
          <w:sz w:val="24"/>
          <w:highlight w:val="none"/>
        </w:rPr>
      </w:pPr>
      <w:r>
        <w:rPr>
          <w:rFonts w:asciiTheme="majorEastAsia" w:hAnsiTheme="majorEastAsia" w:eastAsiaTheme="majorEastAsia"/>
          <w:b/>
          <w:color w:val="auto"/>
          <w:sz w:val="24"/>
          <w:highlight w:val="none"/>
        </w:rPr>
        <w:t>第二条　质量保证</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1、乙方所提供的货物型号、技术规格、技术参数等质量必须与招竞标文件和承诺相一致。乙方提供的自主创新产品、节能和环保产品必须是列入政府采购清单的产品。</w:t>
      </w:r>
    </w:p>
    <w:p>
      <w:pPr>
        <w:snapToGrid w:val="0"/>
        <w:spacing w:line="40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2、乙方所提供的货物必须是全新、未使用的原装产品，且在正常安装、使用和保养条件下，其使用寿命期内各项指标均达到质量要求。</w:t>
      </w:r>
    </w:p>
    <w:p>
      <w:pPr>
        <w:snapToGrid w:val="0"/>
        <w:spacing w:line="400" w:lineRule="exact"/>
        <w:ind w:firstLine="482" w:firstLineChars="200"/>
        <w:rPr>
          <w:rFonts w:asciiTheme="majorEastAsia" w:hAnsiTheme="majorEastAsia" w:eastAsiaTheme="majorEastAsia"/>
          <w:color w:val="auto"/>
          <w:sz w:val="24"/>
          <w:highlight w:val="none"/>
        </w:rPr>
      </w:pPr>
      <w:r>
        <w:rPr>
          <w:rFonts w:asciiTheme="majorEastAsia" w:hAnsiTheme="majorEastAsia" w:eastAsiaTheme="majorEastAsia"/>
          <w:b/>
          <w:color w:val="auto"/>
          <w:sz w:val="24"/>
          <w:highlight w:val="none"/>
        </w:rPr>
        <w:t>第三条　权力保证</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乙方应保证所提供货物在使用时不会侵犯任何第三方的专利权、商标权、工业设计权或其他权利。</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乙方应按采购文件规定的时间向甲方提供使用货物的有关技术资料。</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乙方保证所交付的货物的所有权完全属于乙方且无任何抵押、质押、查封等产权瑕疵。</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第四条　包装和运输</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1、乙方提供的货物均应按招竞标文件要求的包装材料、包装标准、包装方式进行包装，每一包装单元内应附详细的装箱单和质量合格证。</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2、货物的运输方式：</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w:t>
      </w:r>
    </w:p>
    <w:p>
      <w:pPr>
        <w:snapToGrid w:val="0"/>
        <w:spacing w:line="40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3、乙方负责货物运输，货物运输合理损耗及计算方法：</w:t>
      </w:r>
      <w:r>
        <w:rPr>
          <w:rFonts w:asciiTheme="majorEastAsia" w:hAnsiTheme="majorEastAsia" w:eastAsiaTheme="majorEastAsia"/>
          <w:color w:val="auto"/>
          <w:sz w:val="24"/>
          <w:highlight w:val="none"/>
          <w:u w:val="single"/>
        </w:rPr>
        <w:t xml:space="preserve">             。</w:t>
      </w:r>
    </w:p>
    <w:p>
      <w:pPr>
        <w:snapToGrid w:val="0"/>
        <w:spacing w:line="400" w:lineRule="exact"/>
        <w:ind w:firstLine="482" w:firstLineChars="200"/>
        <w:rPr>
          <w:rFonts w:asciiTheme="majorEastAsia" w:hAnsiTheme="majorEastAsia" w:eastAsiaTheme="majorEastAsia"/>
          <w:color w:val="auto"/>
          <w:sz w:val="24"/>
          <w:highlight w:val="none"/>
        </w:rPr>
      </w:pPr>
      <w:r>
        <w:rPr>
          <w:rFonts w:asciiTheme="majorEastAsia" w:hAnsiTheme="majorEastAsia" w:eastAsiaTheme="majorEastAsia"/>
          <w:b/>
          <w:color w:val="auto"/>
          <w:sz w:val="24"/>
          <w:highlight w:val="none"/>
        </w:rPr>
        <w:t>第五条　交付和验收</w:t>
      </w:r>
    </w:p>
    <w:p>
      <w:pPr>
        <w:snapToGrid w:val="0"/>
        <w:spacing w:line="40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1</w:t>
      </w:r>
      <w:r>
        <w:rPr>
          <w:rFonts w:hint="eastAsia" w:asciiTheme="majorEastAsia" w:hAnsiTheme="majorEastAsia" w:eastAsiaTheme="majorEastAsia"/>
          <w:color w:val="auto"/>
          <w:sz w:val="24"/>
          <w:highlight w:val="none"/>
        </w:rPr>
        <w:t>、</w:t>
      </w:r>
      <w:r>
        <w:rPr>
          <w:rFonts w:asciiTheme="majorEastAsia" w:hAnsiTheme="majorEastAsia" w:eastAsiaTheme="majorEastAsia"/>
          <w:color w:val="auto"/>
          <w:sz w:val="24"/>
          <w:highlight w:val="none"/>
        </w:rPr>
        <w:t>交货时间：</w:t>
      </w:r>
      <w:r>
        <w:rPr>
          <w:rFonts w:hint="eastAsia" w:asciiTheme="majorEastAsia" w:hAnsiTheme="majorEastAsia" w:eastAsiaTheme="majorEastAsia"/>
          <w:color w:val="auto"/>
          <w:sz w:val="24"/>
          <w:highlight w:val="none"/>
          <w:u w:val="single"/>
        </w:rPr>
        <w:t>合同签订之日起7天内全部交货。</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w:t>
      </w:r>
      <w:r>
        <w:rPr>
          <w:rFonts w:hint="eastAsia" w:asciiTheme="majorEastAsia" w:hAnsiTheme="majorEastAsia" w:eastAsiaTheme="majorEastAsia"/>
          <w:color w:val="auto"/>
          <w:sz w:val="24"/>
          <w:highlight w:val="none"/>
        </w:rPr>
        <w:t>、交货地点：</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3、乙方提供不符合招竞标文件和本合同规定的货物，甲方有权拒绝接受。</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4、乙方应将所提供货物的装箱清单、用户手册、原厂保修卡、随机资料、工具和备品、备件等交付给甲方，如有缺失应及时补齐，否则视为逾期交货。</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5、甲方应当在到货（安装、调试完）后7个工作日内进行验收，逾期不验收的，乙方可视同验收合格。验收合格后由甲乙双方签署货物验收单并加盖采购单位公章，甲乙双方各执一份。</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6、采购人委托采购代理机构组织的验收项目，其验收时间以该项目验收方案确定的验收时间为准，验收结果以该项目验收报告结论为准。在验收过程中发现乙方有违约问题，可暂缓资金结算，待违约问题解决后，方可办理资金结算事宜。</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7、甲方对验收有异议的，在验收后5个工作日内以书面形式向乙方提出，乙方应自收到甲方书面异议后</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日内及时予以解决。</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第六条　安装和培训</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1、甲方应提供必要安装条件（如场地、电源、水源等）。</w:t>
      </w:r>
    </w:p>
    <w:p>
      <w:pPr>
        <w:snapToGrid w:val="0"/>
        <w:spacing w:line="40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2、乙方负责甲方有关人员的培训。培训时间、地点：</w:t>
      </w:r>
      <w:r>
        <w:rPr>
          <w:rFonts w:asciiTheme="majorEastAsia" w:hAnsiTheme="majorEastAsia" w:eastAsiaTheme="majorEastAsia"/>
          <w:color w:val="auto"/>
          <w:sz w:val="24"/>
          <w:highlight w:val="none"/>
          <w:u w:val="single"/>
        </w:rPr>
        <w:t xml:space="preserve">                   。</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第七条  售后服务、保修期</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1、乙方应按照国家有关法律法规和“三包”规定以及招竞标文件和本合同所附的《服务承诺》，为甲方提供售后服务。</w:t>
      </w:r>
    </w:p>
    <w:p>
      <w:pPr>
        <w:snapToGrid w:val="0"/>
        <w:spacing w:line="40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2、货物保修期；</w:t>
      </w:r>
      <w:r>
        <w:rPr>
          <w:rFonts w:asciiTheme="majorEastAsia" w:hAnsiTheme="majorEastAsia" w:eastAsiaTheme="majorEastAsia"/>
          <w:color w:val="auto"/>
          <w:sz w:val="24"/>
          <w:highlight w:val="none"/>
          <w:u w:val="single"/>
        </w:rPr>
        <w:t xml:space="preserve"> </w:t>
      </w:r>
      <w:r>
        <w:rPr>
          <w:rFonts w:hint="eastAsia" w:asciiTheme="majorEastAsia" w:hAnsiTheme="majorEastAsia" w:eastAsiaTheme="majorEastAsia"/>
          <w:color w:val="auto"/>
          <w:sz w:val="24"/>
          <w:highlight w:val="none"/>
          <w:u w:val="single"/>
        </w:rPr>
        <w:t>一年</w:t>
      </w:r>
      <w:r>
        <w:rPr>
          <w:rFonts w:asciiTheme="majorEastAsia" w:hAnsiTheme="majorEastAsia" w:eastAsiaTheme="majorEastAsia"/>
          <w:color w:val="auto"/>
          <w:sz w:val="24"/>
          <w:highlight w:val="none"/>
          <w:u w:val="single"/>
        </w:rPr>
        <w:t xml:space="preserve">                                   。</w:t>
      </w:r>
    </w:p>
    <w:p>
      <w:pPr>
        <w:snapToGrid w:val="0"/>
        <w:spacing w:line="400" w:lineRule="exact"/>
        <w:ind w:firstLine="480" w:firstLineChars="200"/>
        <w:rPr>
          <w:rFonts w:asciiTheme="majorEastAsia" w:hAnsiTheme="majorEastAsia" w:eastAsiaTheme="majorEastAsia"/>
          <w:color w:val="auto"/>
          <w:sz w:val="24"/>
          <w:highlight w:val="none"/>
          <w:u w:val="single"/>
        </w:rPr>
      </w:pPr>
      <w:r>
        <w:rPr>
          <w:rFonts w:asciiTheme="majorEastAsia" w:hAnsiTheme="majorEastAsia" w:eastAsiaTheme="majorEastAsia"/>
          <w:color w:val="auto"/>
          <w:sz w:val="24"/>
          <w:highlight w:val="none"/>
        </w:rPr>
        <w:t>3、乙方提供的服务承诺和售后服务及保修期责任等其它具体约定事项。（见合同附件）</w:t>
      </w:r>
    </w:p>
    <w:p>
      <w:pPr>
        <w:snapToGrid w:val="0"/>
        <w:spacing w:line="400" w:lineRule="exact"/>
        <w:ind w:firstLine="482" w:firstLineChars="200"/>
        <w:rPr>
          <w:rFonts w:asciiTheme="majorEastAsia" w:hAnsiTheme="majorEastAsia" w:eastAsiaTheme="majorEastAsia"/>
          <w:color w:val="auto"/>
          <w:sz w:val="24"/>
          <w:highlight w:val="none"/>
        </w:rPr>
      </w:pPr>
      <w:r>
        <w:rPr>
          <w:rFonts w:asciiTheme="majorEastAsia" w:hAnsiTheme="majorEastAsia" w:eastAsiaTheme="majorEastAsia"/>
          <w:b/>
          <w:color w:val="auto"/>
          <w:sz w:val="24"/>
          <w:highlight w:val="none"/>
        </w:rPr>
        <w:t>第八条　付款方式和保证金</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1、当采购数量与实际使用数量不一致时，乙方应根据实际使用量供货，合同的最终结算金额按实际使用量乘以成交单价进行计算。</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2、资金性质：</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3、付款方式：</w:t>
      </w:r>
    </w:p>
    <w:p>
      <w:pPr>
        <w:snapToGrid w:val="0"/>
        <w:spacing w:line="400" w:lineRule="exact"/>
        <w:ind w:firstLine="480" w:firstLineChars="200"/>
        <w:rPr>
          <w:rFonts w:hint="eastAsia" w:asciiTheme="majorEastAsia" w:hAnsiTheme="majorEastAsia" w:eastAsiaTheme="majorEastAsia"/>
          <w:color w:val="auto"/>
          <w:kern w:val="1"/>
          <w:sz w:val="24"/>
          <w:highlight w:val="none"/>
          <w:u w:val="single"/>
        </w:rPr>
      </w:pPr>
      <w:r>
        <w:rPr>
          <w:rFonts w:hint="eastAsia" w:asciiTheme="majorEastAsia" w:hAnsiTheme="majorEastAsia" w:eastAsiaTheme="majorEastAsia"/>
          <w:color w:val="auto"/>
          <w:kern w:val="1"/>
          <w:sz w:val="24"/>
          <w:highlight w:val="none"/>
          <w:u w:val="single"/>
        </w:rPr>
        <w:t>验收合格交付使用之日起七个工作日内，由甲方向乙方一次性支付合同全款。</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第九条、税费本合同执行中相关的一切税费均由乙方负担。</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第十条、质量保证及售后服务</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1、乙方应按采购文件规定的货物性能、技术要求、质量标准向甲方提供未经使用的全新产品。要求者，根据实际情况，经双方协商，可按以下办法处理：</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⑴更换：由乙方承担所发生的全部费用。</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⑵贬值处理：由甲乙双方合议定价。</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⑶退货处理：乙方应退还甲方支付的合同款，同时应承担该货物的直接费用（运输、保险、检验、货款利息及银行手续费等）。</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2、如在使用过程中发生质量问题，乙方在接到甲方通知后在△小时内到达甲方现场。</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3、在质保期内，乙方应对货物出现的质量及安全问题负责处理解决并承担一切费用。</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4、上述的货物免费保修期为</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年，因人为因素出现的故障不在免费保修范围内。超过保修期的机器设备，终生维修，维修时只收部件成本费。</w:t>
      </w:r>
    </w:p>
    <w:p>
      <w:pPr>
        <w:pStyle w:val="9"/>
        <w:snapToGrid w:val="0"/>
        <w:spacing w:before="120" w:after="120" w:line="400" w:lineRule="exact"/>
        <w:ind w:firstLine="472" w:firstLineChars="196"/>
        <w:rPr>
          <w:rFonts w:asciiTheme="majorEastAsia" w:hAnsiTheme="majorEastAsia" w:eastAsiaTheme="majorEastAsia"/>
          <w:b/>
          <w:color w:val="auto"/>
          <w:sz w:val="24"/>
          <w:szCs w:val="24"/>
          <w:highlight w:val="none"/>
        </w:rPr>
      </w:pPr>
      <w:r>
        <w:rPr>
          <w:rFonts w:asciiTheme="majorEastAsia" w:hAnsiTheme="majorEastAsia" w:eastAsiaTheme="majorEastAsia"/>
          <w:b/>
          <w:color w:val="auto"/>
          <w:sz w:val="24"/>
          <w:szCs w:val="24"/>
          <w:highlight w:val="none"/>
        </w:rPr>
        <w:t>第十一条、调试和验收</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甲方对乙方提交的货物依据采购文件上的技术规格要求和国家有关质量标准进行现场初步验收，外观、说明书符合采购文件技术要求的，给予签收，初步验收不合格的不予签收。货到后，甲方应当在到货（安装、调试完）后7个工作日内进行验收。</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2、乙方交货前应对产品作出全面检查和对验收文件进行整理，并列出清单，作为甲方收货验收和使用的技术条件依据，检验的结果应随货物交甲方。</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3、甲方对乙方提供的货物在使用前进行调试时，乙方需负责安装并培训甲方的使用操作人员，并协助甲方一起调试，直到符合技术要求，甲方才做最终验收。</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4、对技术复杂的货物，甲方应请国家认可的专业检测机构参与初步验收及最终验收，并由其出具质量检测报告。</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5、验收时乙方必须在现场，验收完毕后作出验收结果报告；验收费用由乙方负责。</w:t>
      </w:r>
    </w:p>
    <w:p>
      <w:pPr>
        <w:pStyle w:val="9"/>
        <w:snapToGrid w:val="0"/>
        <w:spacing w:before="120" w:after="120" w:line="400" w:lineRule="exact"/>
        <w:ind w:firstLine="472" w:firstLineChars="196"/>
        <w:rPr>
          <w:rFonts w:asciiTheme="majorEastAsia" w:hAnsiTheme="majorEastAsia" w:eastAsiaTheme="majorEastAsia"/>
          <w:b/>
          <w:color w:val="auto"/>
          <w:sz w:val="24"/>
          <w:szCs w:val="24"/>
          <w:highlight w:val="none"/>
        </w:rPr>
      </w:pPr>
      <w:r>
        <w:rPr>
          <w:rFonts w:asciiTheme="majorEastAsia" w:hAnsiTheme="majorEastAsia" w:eastAsiaTheme="majorEastAsia"/>
          <w:b/>
          <w:color w:val="auto"/>
          <w:sz w:val="24"/>
          <w:szCs w:val="24"/>
          <w:highlight w:val="none"/>
        </w:rPr>
        <w:t>第十二条、货物包装、发运及运输</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1、乙方应在货物发运前对其进行满足运输距离、防潮、防震、防锈和防破损装卸等要求包装，以保证货物安全运达甲方指定地点。</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2、使用说明书、质量检验证明书、随配附件和工具以及清单一并附于货物内。</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3、乙方在货物发运手续办理完毕后24小时内或货到甲方48小时前通知甲方，以准备接货。</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4、货物在交付甲方前发生的风险均由乙方负责。</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5、货物在规定的交付期限内由乙方送达甲方指定的地点视为交付，乙方同时需通知甲方货物已送达。</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第十三条　违约责任</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1、乙方所提供的货物规格、技术标准、材料等质量不合格的，应及时更换，更换不及时的按逾期交货处罚；因质量问题甲方不同意接收的或特殊情况甲方同意接收的，乙方应向甲方支付违约货款额 5%违约金并赔偿甲方经济损失。</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2、乙方提供的货物如侵犯了第三方合法权益而引发的任何纠纷或诉讼，均由乙方负责交涉并承担全部责任。</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3、因包装、运输引起的货物损坏，按质量不合格处罚。</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4、甲方无故延期接收货物、乙方逾期交货的，每天向对方偿付违约货款额3‰违约金，但违约金累计不得超过违约货款额5%，超过</w:t>
      </w:r>
      <w:r>
        <w:rPr>
          <w:rFonts w:asciiTheme="majorEastAsia" w:hAnsiTheme="majorEastAsia" w:eastAsiaTheme="majorEastAsia"/>
          <w:color w:val="auto"/>
          <w:sz w:val="24"/>
          <w:highlight w:val="none"/>
          <w:u w:val="single"/>
        </w:rPr>
        <w:t xml:space="preserve">   </w:t>
      </w:r>
      <w:r>
        <w:rPr>
          <w:rFonts w:asciiTheme="majorEastAsia" w:hAnsiTheme="majorEastAsia" w:eastAsiaTheme="majorEastAsia"/>
          <w:color w:val="auto"/>
          <w:sz w:val="24"/>
          <w:highlight w:val="none"/>
        </w:rPr>
        <w:t>天对方有权解除合同，违约方承担因此给对方造成经济损失；甲方延期付货款的，每天向乙方偿付延期货款额3‰滞纳金，但滞纳金累计不得超过延期货款额5%。</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5、乙方未按本合同和竞标文件中规定的服务承诺提供售后服务的，乙方应按本合同合计金额 5%向甲方支付违约金。</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6、乙方提供的货物在质量保证期内，因设计、工艺或材料的缺陷和其它质量原因造成的问题，由乙方负责，费用从质量保证金中扣除，不足另补。</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7、其它违约行为按违约货款额5%收取违约金并赔偿经济损失。</w:t>
      </w:r>
    </w:p>
    <w:p>
      <w:pPr>
        <w:pStyle w:val="9"/>
        <w:snapToGrid w:val="0"/>
        <w:spacing w:before="120" w:after="120" w:line="400" w:lineRule="exact"/>
        <w:ind w:firstLine="472" w:firstLineChars="196"/>
        <w:rPr>
          <w:rFonts w:asciiTheme="majorEastAsia" w:hAnsiTheme="majorEastAsia" w:eastAsiaTheme="majorEastAsia"/>
          <w:b/>
          <w:color w:val="auto"/>
          <w:sz w:val="24"/>
          <w:szCs w:val="24"/>
          <w:highlight w:val="none"/>
        </w:rPr>
      </w:pPr>
      <w:r>
        <w:rPr>
          <w:rFonts w:asciiTheme="majorEastAsia" w:hAnsiTheme="majorEastAsia" w:eastAsiaTheme="majorEastAsia"/>
          <w:b/>
          <w:color w:val="auto"/>
          <w:sz w:val="24"/>
          <w:szCs w:val="24"/>
          <w:highlight w:val="none"/>
        </w:rPr>
        <w:t>第十四条、不可抗力事件处理</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1、在合同有效期内，任何一方因不可抗力事件导致不能履行合同，则合同履行期可延长，其延长期与不可抗力影响期相同。</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2、不可抗力事件发生后，应立即通知对方，并寄送有关权威机构出具的证明。</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3、不可抗力事件延续120天以上，双方应通过友好协商，确定是否继续履行合同。</w:t>
      </w:r>
    </w:p>
    <w:p>
      <w:pPr>
        <w:snapToGrid w:val="0"/>
        <w:spacing w:line="400" w:lineRule="exact"/>
        <w:ind w:firstLine="482" w:firstLineChars="200"/>
        <w:rPr>
          <w:rFonts w:asciiTheme="majorEastAsia" w:hAnsiTheme="majorEastAsia" w:eastAsiaTheme="majorEastAsia"/>
          <w:color w:val="auto"/>
          <w:sz w:val="24"/>
          <w:highlight w:val="none"/>
        </w:rPr>
      </w:pPr>
      <w:r>
        <w:rPr>
          <w:rFonts w:asciiTheme="majorEastAsia" w:hAnsiTheme="majorEastAsia" w:eastAsiaTheme="majorEastAsia"/>
          <w:b/>
          <w:color w:val="auto"/>
          <w:sz w:val="24"/>
          <w:highlight w:val="none"/>
        </w:rPr>
        <w:t>第十五条  合同争议解决</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1、因货物质量问题发生争议的，应邀请国家认可的质量检测机构对货物质量进行鉴定。货物符合标准的，鉴定费由甲方承担；货物不符合标准的，鉴定费由乙方承担。</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2、因履行本合同引起的或与本合同有关的争议，甲乙双方应首先通过友好协商解决，如果协商不能解决，可向</w:t>
      </w:r>
      <w:r>
        <w:rPr>
          <w:rFonts w:hint="eastAsia" w:asciiTheme="majorEastAsia" w:hAnsiTheme="majorEastAsia" w:eastAsiaTheme="majorEastAsia"/>
          <w:color w:val="auto"/>
          <w:sz w:val="24"/>
          <w:highlight w:val="none"/>
        </w:rPr>
        <w:t>合同履行地</w:t>
      </w:r>
      <w:r>
        <w:rPr>
          <w:rFonts w:asciiTheme="majorEastAsia" w:hAnsiTheme="majorEastAsia" w:eastAsiaTheme="majorEastAsia"/>
          <w:color w:val="auto"/>
          <w:sz w:val="24"/>
          <w:highlight w:val="none"/>
        </w:rPr>
        <w:t>人民法院提起诉讼。</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3、诉讼期间，本合同继续履行。</w:t>
      </w:r>
    </w:p>
    <w:p>
      <w:pPr>
        <w:pStyle w:val="9"/>
        <w:snapToGrid w:val="0"/>
        <w:spacing w:before="120" w:after="120" w:line="400" w:lineRule="exact"/>
        <w:ind w:left="561" w:leftChars="267"/>
        <w:rPr>
          <w:rFonts w:asciiTheme="majorEastAsia" w:hAnsiTheme="majorEastAsia" w:eastAsiaTheme="majorEastAsia"/>
          <w:b/>
          <w:color w:val="auto"/>
          <w:sz w:val="24"/>
          <w:szCs w:val="24"/>
          <w:highlight w:val="none"/>
        </w:rPr>
      </w:pPr>
      <w:r>
        <w:rPr>
          <w:rFonts w:asciiTheme="majorEastAsia" w:hAnsiTheme="majorEastAsia" w:eastAsiaTheme="majorEastAsia"/>
          <w:b/>
          <w:color w:val="auto"/>
          <w:sz w:val="24"/>
          <w:szCs w:val="24"/>
          <w:highlight w:val="none"/>
        </w:rPr>
        <w:t>第十</w:t>
      </w:r>
      <w:r>
        <w:rPr>
          <w:rFonts w:hint="eastAsia" w:asciiTheme="majorEastAsia" w:hAnsiTheme="majorEastAsia" w:eastAsiaTheme="majorEastAsia"/>
          <w:b/>
          <w:color w:val="auto"/>
          <w:sz w:val="24"/>
          <w:szCs w:val="24"/>
          <w:highlight w:val="none"/>
        </w:rPr>
        <w:t>六</w:t>
      </w:r>
      <w:r>
        <w:rPr>
          <w:rFonts w:asciiTheme="majorEastAsia" w:hAnsiTheme="majorEastAsia" w:eastAsiaTheme="majorEastAsia"/>
          <w:b/>
          <w:color w:val="auto"/>
          <w:sz w:val="24"/>
          <w:szCs w:val="24"/>
          <w:highlight w:val="none"/>
        </w:rPr>
        <w:t>条、合同生效及其它</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1、合同经双方</w:t>
      </w: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或授权代表签字并加盖单位公章后生效。</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2、合同执行中涉及采购资金和采购内容修改或补充的，须经财政部门审批，并签书面补充协议报财政部门备案，方可作为主合同不可分割的一部分。</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3、本合同未尽事宜，遵照《合同法》有关条文执行。</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第十</w:t>
      </w:r>
      <w:r>
        <w:rPr>
          <w:rFonts w:hint="eastAsia" w:asciiTheme="majorEastAsia" w:hAnsiTheme="majorEastAsia" w:eastAsiaTheme="majorEastAsia"/>
          <w:b/>
          <w:color w:val="auto"/>
          <w:sz w:val="24"/>
          <w:highlight w:val="none"/>
        </w:rPr>
        <w:t>七</w:t>
      </w:r>
      <w:r>
        <w:rPr>
          <w:rFonts w:asciiTheme="majorEastAsia" w:hAnsiTheme="majorEastAsia" w:eastAsiaTheme="majorEastAsia"/>
          <w:b/>
          <w:color w:val="auto"/>
          <w:sz w:val="24"/>
          <w:highlight w:val="none"/>
        </w:rPr>
        <w:t>条　合同的变更、终止与转让</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1、除《中华人民共和国政府采购法》第50条规定的情形外，本合同一经签订，甲乙双方不得擅自变更、中止或终止。</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2、乙方不得擅自转让（无进口资格的供应商委托进口货物除外）其应履行的合同义务。</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3、合同经双方</w:t>
      </w: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或授权代表签字并加盖单位公章后生效。</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4、合同执行中涉及采购资金和采购内容修改或补充的，须经财政部门审批，并签书面补充协议报财政部门备案，方可作为主合同不可分割的一部分。</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5、本合同未尽事宜，遵照《合同法》有关条文执行。</w:t>
      </w:r>
    </w:p>
    <w:p>
      <w:pPr>
        <w:snapToGrid w:val="0"/>
        <w:spacing w:line="400" w:lineRule="exact"/>
        <w:ind w:firstLine="482" w:firstLineChars="200"/>
        <w:rPr>
          <w:rFonts w:asciiTheme="majorEastAsia" w:hAnsiTheme="majorEastAsia" w:eastAsiaTheme="majorEastAsia"/>
          <w:b/>
          <w:color w:val="auto"/>
          <w:sz w:val="24"/>
          <w:highlight w:val="none"/>
        </w:rPr>
      </w:pPr>
      <w:r>
        <w:rPr>
          <w:rFonts w:asciiTheme="majorEastAsia" w:hAnsiTheme="majorEastAsia" w:eastAsiaTheme="majorEastAsia"/>
          <w:b/>
          <w:color w:val="auto"/>
          <w:sz w:val="24"/>
          <w:highlight w:val="none"/>
        </w:rPr>
        <w:t>第十</w:t>
      </w:r>
      <w:r>
        <w:rPr>
          <w:rFonts w:hint="eastAsia" w:asciiTheme="majorEastAsia" w:hAnsiTheme="majorEastAsia" w:eastAsiaTheme="majorEastAsia"/>
          <w:b/>
          <w:color w:val="auto"/>
          <w:sz w:val="24"/>
          <w:highlight w:val="none"/>
        </w:rPr>
        <w:t>八</w:t>
      </w:r>
      <w:r>
        <w:rPr>
          <w:rFonts w:asciiTheme="majorEastAsia" w:hAnsiTheme="majorEastAsia" w:eastAsiaTheme="majorEastAsia"/>
          <w:b/>
          <w:color w:val="auto"/>
          <w:sz w:val="24"/>
          <w:highlight w:val="none"/>
        </w:rPr>
        <w:t>条　签订本合同依据</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1、政府采购采购文件；2、乙方提供的竞标文件；3、竞标承诺书；4、成交或成交通知书。</w:t>
      </w:r>
    </w:p>
    <w:p>
      <w:pPr>
        <w:snapToGrid w:val="0"/>
        <w:spacing w:line="400" w:lineRule="exact"/>
        <w:ind w:firstLine="482" w:firstLineChars="200"/>
        <w:rPr>
          <w:rFonts w:asciiTheme="majorEastAsia" w:hAnsiTheme="majorEastAsia" w:eastAsiaTheme="majorEastAsia"/>
          <w:color w:val="auto"/>
          <w:sz w:val="24"/>
          <w:highlight w:val="none"/>
        </w:rPr>
      </w:pPr>
      <w:r>
        <w:rPr>
          <w:rFonts w:asciiTheme="majorEastAsia" w:hAnsiTheme="majorEastAsia" w:eastAsiaTheme="majorEastAsia"/>
          <w:b/>
          <w:color w:val="auto"/>
          <w:sz w:val="24"/>
          <w:highlight w:val="none"/>
        </w:rPr>
        <w:t>第十</w:t>
      </w:r>
      <w:r>
        <w:rPr>
          <w:rFonts w:hint="eastAsia" w:asciiTheme="majorEastAsia" w:hAnsiTheme="majorEastAsia" w:eastAsiaTheme="majorEastAsia"/>
          <w:b/>
          <w:color w:val="auto"/>
          <w:sz w:val="24"/>
          <w:highlight w:val="none"/>
        </w:rPr>
        <w:t>九</w:t>
      </w:r>
      <w:r>
        <w:rPr>
          <w:rFonts w:asciiTheme="majorEastAsia" w:hAnsiTheme="majorEastAsia" w:eastAsiaTheme="majorEastAsia"/>
          <w:b/>
          <w:color w:val="auto"/>
          <w:sz w:val="24"/>
          <w:highlight w:val="none"/>
        </w:rPr>
        <w:t>条　</w:t>
      </w:r>
      <w:r>
        <w:rPr>
          <w:rFonts w:asciiTheme="majorEastAsia" w:hAnsiTheme="majorEastAsia" w:eastAsiaTheme="majorEastAsia"/>
          <w:color w:val="auto"/>
          <w:sz w:val="24"/>
          <w:highlight w:val="none"/>
        </w:rPr>
        <w:t>本合同一式六份，具有同等法律效力，财政部门（政府采购监管部门）、采购代理机构各一份，甲乙双方各二份（可根据需要另增加）。</w:t>
      </w:r>
    </w:p>
    <w:p>
      <w:pPr>
        <w:snapToGrid w:val="0"/>
        <w:spacing w:line="400" w:lineRule="exact"/>
        <w:ind w:firstLine="480" w:firstLineChars="20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本合同甲乙双方签字盖章后生效，自签订之日起七个工作日内，采购人或采购代理机构应当将合同副本报同级财政部门备案。</w:t>
      </w:r>
    </w:p>
    <w:tbl>
      <w:tblPr>
        <w:tblStyle w:val="14"/>
        <w:tblW w:w="90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2"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 xml:space="preserve">甲方（章）           </w:t>
            </w:r>
          </w:p>
          <w:p>
            <w:pPr>
              <w:snapToGrid w:val="0"/>
              <w:spacing w:line="400" w:lineRule="exact"/>
              <w:ind w:firstLine="1080" w:firstLineChars="450"/>
              <w:jc w:val="righ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年   月   日</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 xml:space="preserve">乙方（章）              </w:t>
            </w:r>
          </w:p>
          <w:p>
            <w:pPr>
              <w:snapToGrid w:val="0"/>
              <w:spacing w:line="400" w:lineRule="exact"/>
              <w:jc w:val="righ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单位地址：</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hint="eastAsia" w:asciiTheme="majorEastAsia" w:hAnsiTheme="majorEastAsia" w:eastAsiaTheme="majorEastAsia"/>
                <w:color w:val="auto"/>
                <w:sz w:val="24"/>
                <w:highlight w:val="none"/>
                <w:lang w:eastAsia="zh-CN"/>
              </w:rPr>
              <w:t>法定代表人或负责人</w:t>
            </w:r>
            <w:r>
              <w:rPr>
                <w:rFonts w:asciiTheme="majorEastAsia" w:hAnsiTheme="majorEastAsia" w:eastAsiaTheme="majorEastAsia"/>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委托代理人：</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电话：</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7"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电子邮箱：</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开户银行：</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1"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账号：</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8" w:hRule="atLeast"/>
          <w:jc w:val="center"/>
        </w:trPr>
        <w:tc>
          <w:tcPr>
            <w:tcW w:w="4516"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邮政编码：</w:t>
            </w:r>
          </w:p>
        </w:tc>
        <w:tc>
          <w:tcPr>
            <w:tcW w:w="4517" w:type="dxa"/>
            <w:vAlign w:val="center"/>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9033" w:type="dxa"/>
            <w:gridSpan w:val="2"/>
          </w:tcPr>
          <w:p>
            <w:pPr>
              <w:snapToGrid w:val="0"/>
              <w:spacing w:line="400" w:lineRule="exac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经办人：</w:t>
            </w:r>
          </w:p>
          <w:p>
            <w:pPr>
              <w:snapToGrid w:val="0"/>
              <w:spacing w:line="400" w:lineRule="exact"/>
              <w:ind w:firstLine="720" w:firstLineChars="300"/>
              <w:jc w:val="right"/>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年    月    日</w:t>
            </w:r>
          </w:p>
        </w:tc>
      </w:tr>
    </w:tbl>
    <w:p>
      <w:pPr>
        <w:snapToGrid w:val="0"/>
        <w:ind w:left="420" w:hanging="420" w:hangingChars="200"/>
        <w:rPr>
          <w:rFonts w:asciiTheme="majorEastAsia" w:hAnsiTheme="majorEastAsia" w:eastAsiaTheme="majorEastAsia"/>
          <w:color w:val="auto"/>
          <w:szCs w:val="21"/>
          <w:highlight w:val="none"/>
        </w:rPr>
      </w:pPr>
    </w:p>
    <w:p>
      <w:pPr>
        <w:snapToGrid w:val="0"/>
        <w:spacing w:line="360" w:lineRule="auto"/>
        <w:jc w:val="center"/>
        <w:rPr>
          <w:rFonts w:asciiTheme="majorEastAsia" w:hAnsiTheme="majorEastAsia" w:eastAsiaTheme="majorEastAsia"/>
          <w:b/>
          <w:color w:val="auto"/>
          <w:sz w:val="32"/>
          <w:szCs w:val="32"/>
          <w:highlight w:val="none"/>
        </w:rPr>
      </w:pPr>
      <w:r>
        <w:rPr>
          <w:rFonts w:asciiTheme="majorEastAsia" w:hAnsiTheme="majorEastAsia" w:eastAsiaTheme="majorEastAsia"/>
          <w:b/>
          <w:color w:val="auto"/>
          <w:sz w:val="32"/>
          <w:szCs w:val="32"/>
          <w:highlight w:val="none"/>
        </w:rPr>
        <w:br w:type="page"/>
      </w:r>
      <w:r>
        <w:rPr>
          <w:rFonts w:asciiTheme="majorEastAsia" w:hAnsiTheme="majorEastAsia" w:eastAsiaTheme="majorEastAsia"/>
          <w:b/>
          <w:color w:val="auto"/>
          <w:sz w:val="32"/>
          <w:szCs w:val="32"/>
          <w:highlight w:val="none"/>
        </w:rPr>
        <w:t>合 同 附 件</w:t>
      </w:r>
    </w:p>
    <w:p>
      <w:pPr>
        <w:snapToGrid w:val="0"/>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一般货物类</w:t>
      </w:r>
    </w:p>
    <w:tbl>
      <w:tblPr>
        <w:tblStyle w:val="14"/>
        <w:tblW w:w="9008" w:type="dxa"/>
        <w:jc w:val="center"/>
        <w:tblInd w:w="0" w:type="dxa"/>
        <w:tblLayout w:type="fixed"/>
        <w:tblCellMar>
          <w:top w:w="0" w:type="dxa"/>
          <w:left w:w="108" w:type="dxa"/>
          <w:bottom w:w="0" w:type="dxa"/>
          <w:right w:w="108" w:type="dxa"/>
        </w:tblCellMar>
      </w:tblPr>
      <w:tblGrid>
        <w:gridCol w:w="4248"/>
        <w:gridCol w:w="4760"/>
      </w:tblGrid>
      <w:tr>
        <w:tblPrEx>
          <w:tblLayout w:type="fixed"/>
          <w:tblCellMar>
            <w:top w:w="0" w:type="dxa"/>
            <w:left w:w="108" w:type="dxa"/>
            <w:bottom w:w="0" w:type="dxa"/>
            <w:right w:w="108" w:type="dxa"/>
          </w:tblCellMar>
        </w:tblPrEx>
        <w:trPr>
          <w:trHeight w:val="454" w:hRule="exact"/>
          <w:jc w:val="center"/>
        </w:trPr>
        <w:tc>
          <w:tcPr>
            <w:tcW w:w="9008" w:type="dxa"/>
            <w:gridSpan w:val="2"/>
            <w:tcBorders>
              <w:top w:val="single" w:color="auto" w:sz="4" w:space="0"/>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1、供应商承诺具体事项：</w:t>
            </w: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top w:val="single" w:color="auto" w:sz="4" w:space="0"/>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2、售后服务具体事项：</w:t>
            </w: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top w:val="single" w:color="auto" w:sz="4" w:space="0"/>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3、保修期责任：</w:t>
            </w: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top w:val="single" w:color="auto" w:sz="4" w:space="0"/>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4、其他具体事项：</w:t>
            </w: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454" w:hRule="exact"/>
          <w:jc w:val="center"/>
        </w:trPr>
        <w:tc>
          <w:tcPr>
            <w:tcW w:w="9008" w:type="dxa"/>
            <w:gridSpan w:val="2"/>
            <w:tcBorders>
              <w:left w:val="single" w:color="auto" w:sz="4" w:space="0"/>
              <w:bottom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p>
        </w:tc>
      </w:tr>
      <w:tr>
        <w:tblPrEx>
          <w:tblLayout w:type="fixed"/>
          <w:tblCellMar>
            <w:top w:w="0" w:type="dxa"/>
            <w:left w:w="108" w:type="dxa"/>
            <w:bottom w:w="0" w:type="dxa"/>
            <w:right w:w="108" w:type="dxa"/>
          </w:tblCellMar>
        </w:tblPrEx>
        <w:trPr>
          <w:trHeight w:val="2622" w:hRule="atLeast"/>
          <w:jc w:val="center"/>
        </w:trPr>
        <w:tc>
          <w:tcPr>
            <w:tcW w:w="4248" w:type="dxa"/>
            <w:tcBorders>
              <w:top w:val="single" w:color="auto" w:sz="4" w:space="0"/>
              <w:left w:val="single" w:color="auto" w:sz="4" w:space="0"/>
              <w:bottom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甲方（章）</w:t>
            </w: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 xml:space="preserve">                 年   月   日 </w:t>
            </w:r>
          </w:p>
        </w:tc>
        <w:tc>
          <w:tcPr>
            <w:tcW w:w="4760" w:type="dxa"/>
            <w:tcBorders>
              <w:top w:val="single" w:color="auto" w:sz="4" w:space="0"/>
              <w:left w:val="single" w:color="auto" w:sz="4" w:space="0"/>
              <w:bottom w:val="single" w:color="auto" w:sz="4" w:space="0"/>
              <w:right w:val="single" w:color="auto" w:sz="4" w:space="0"/>
            </w:tcBorders>
            <w:vAlign w:val="center"/>
          </w:tcPr>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乙方（章）</w:t>
            </w: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p>
          <w:p>
            <w:pPr>
              <w:snapToGrid w:val="0"/>
              <w:ind w:firstLine="482"/>
              <w:rPr>
                <w:rFonts w:asciiTheme="majorEastAsia" w:hAnsiTheme="majorEastAsia" w:eastAsiaTheme="majorEastAsia"/>
                <w:color w:val="auto"/>
                <w:sz w:val="24"/>
                <w:highlight w:val="none"/>
              </w:rPr>
            </w:pPr>
            <w:r>
              <w:rPr>
                <w:rFonts w:asciiTheme="majorEastAsia" w:hAnsiTheme="majorEastAsia" w:eastAsiaTheme="majorEastAsia"/>
                <w:color w:val="auto"/>
                <w:sz w:val="24"/>
                <w:highlight w:val="none"/>
              </w:rPr>
              <w:t xml:space="preserve">                年   月   日</w:t>
            </w:r>
          </w:p>
        </w:tc>
      </w:tr>
    </w:tbl>
    <w:p>
      <w:pPr>
        <w:snapToGrid w:val="0"/>
        <w:spacing w:line="360" w:lineRule="exact"/>
        <w:rPr>
          <w:rFonts w:asciiTheme="majorEastAsia" w:hAnsiTheme="majorEastAsia" w:eastAsiaTheme="majorEastAsia"/>
          <w:color w:val="auto"/>
          <w:highlight w:val="none"/>
        </w:rPr>
      </w:pPr>
      <w:r>
        <w:rPr>
          <w:rFonts w:asciiTheme="majorEastAsia" w:hAnsiTheme="majorEastAsia" w:eastAsiaTheme="majorEastAsia"/>
          <w:color w:val="auto"/>
          <w:sz w:val="24"/>
          <w:highlight w:val="none"/>
        </w:rPr>
        <w:t xml:space="preserve">  注：售后服务事项填不下时可另加附页</w:t>
      </w:r>
    </w:p>
    <w:p>
      <w:pPr>
        <w:pStyle w:val="3"/>
        <w:ind w:firstLine="2168" w:firstLineChars="600"/>
        <w:jc w:val="both"/>
        <w:rPr>
          <w:rFonts w:asciiTheme="majorEastAsia" w:hAnsiTheme="majorEastAsia" w:eastAsiaTheme="majorEastAsia"/>
          <w:color w:val="auto"/>
          <w:highlight w:val="none"/>
        </w:rPr>
      </w:pPr>
    </w:p>
    <w:p>
      <w:pPr>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rFonts w:cs="Times New Roman" w:asciiTheme="majorEastAsia" w:hAnsiTheme="majorEastAsia" w:eastAsiaTheme="majorEastAsia"/>
          <w:b/>
          <w:bCs/>
          <w:color w:val="auto"/>
          <w:kern w:val="2"/>
          <w:sz w:val="32"/>
          <w:szCs w:val="32"/>
          <w:highlight w:val="none"/>
          <w:lang w:val="en-US" w:eastAsia="zh-CN" w:bidi="ar-SA"/>
        </w:rPr>
      </w:pPr>
    </w:p>
    <w:p>
      <w:pPr>
        <w:pStyle w:val="3"/>
        <w:rPr>
          <w:rFonts w:cs="Times New Roman" w:asciiTheme="majorEastAsia" w:hAnsiTheme="majorEastAsia" w:eastAsiaTheme="majorEastAsia"/>
          <w:b/>
          <w:bCs/>
          <w:color w:val="auto"/>
          <w:kern w:val="2"/>
          <w:sz w:val="32"/>
          <w:szCs w:val="32"/>
          <w:highlight w:val="none"/>
          <w:lang w:val="en-US" w:eastAsia="zh-CN" w:bidi="ar-SA"/>
        </w:rPr>
      </w:pPr>
      <w:r>
        <w:rPr>
          <w:rFonts w:hint="eastAsia" w:cs="Times New Roman" w:asciiTheme="majorEastAsia" w:hAnsiTheme="majorEastAsia" w:eastAsiaTheme="majorEastAsia"/>
          <w:b/>
          <w:bCs/>
          <w:color w:val="auto"/>
          <w:kern w:val="2"/>
          <w:sz w:val="32"/>
          <w:szCs w:val="32"/>
          <w:highlight w:val="none"/>
          <w:lang w:val="en-US" w:eastAsia="zh-CN" w:bidi="ar-SA"/>
        </w:rPr>
        <w:t>第七章 附件</w:t>
      </w:r>
    </w:p>
    <w:p>
      <w:pPr>
        <w:rPr>
          <w:rFonts w:ascii="宋体" w:hAnsi="宋体" w:cs="宋体"/>
          <w:color w:val="auto"/>
          <w:sz w:val="36"/>
          <w:szCs w:val="36"/>
          <w:highlight w:val="none"/>
        </w:rPr>
      </w:pPr>
      <w:bookmarkStart w:id="133" w:name="_Toc210184914"/>
      <w:bookmarkStart w:id="134" w:name="_Toc211355202"/>
      <w:bookmarkStart w:id="135" w:name="_Toc206525311"/>
      <w:r>
        <w:rPr>
          <w:rFonts w:hint="eastAsia" w:ascii="宋体" w:hAnsi="宋体" w:cs="宋体"/>
          <w:b/>
          <w:bCs/>
          <w:color w:val="auto"/>
          <w:sz w:val="28"/>
          <w:szCs w:val="28"/>
          <w:highlight w:val="none"/>
        </w:rPr>
        <w:t>附件1：</w:t>
      </w:r>
    </w:p>
    <w:p>
      <w:pPr>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中小企业声明函（格式）</w:t>
      </w:r>
    </w:p>
    <w:p>
      <w:pPr>
        <w:rPr>
          <w:rFonts w:ascii="宋体" w:hAnsi="宋体" w:cs="宋体"/>
          <w:color w:val="auto"/>
          <w:highlight w:val="none"/>
        </w:rPr>
      </w:pPr>
    </w:p>
    <w:p>
      <w:pPr>
        <w:pStyle w:val="3"/>
        <w:rPr>
          <w:color w:val="auto"/>
          <w:highlight w:val="none"/>
        </w:rPr>
      </w:pP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宋体" w:hAnsi="宋体" w:cs="宋体"/>
          <w:color w:val="auto"/>
          <w:szCs w:val="20"/>
          <w:highlight w:val="none"/>
        </w:rPr>
      </w:pPr>
      <w:r>
        <w:rPr>
          <w:rFonts w:hint="eastAsia" w:ascii="宋体" w:hAnsi="宋体" w:cs="宋体"/>
          <w:color w:val="auto"/>
          <w:szCs w:val="20"/>
          <w:highlight w:val="none"/>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宋体" w:hAnsi="宋体" w:cs="宋体"/>
          <w:color w:val="auto"/>
          <w:szCs w:val="20"/>
          <w:highlight w:val="none"/>
        </w:rPr>
      </w:pPr>
      <w:r>
        <w:rPr>
          <w:rFonts w:hint="eastAsia" w:ascii="宋体" w:hAnsi="宋体" w:cs="宋体"/>
          <w:color w:val="auto"/>
          <w:szCs w:val="20"/>
          <w:highlight w:val="none"/>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宋体" w:hAnsi="宋体" w:cs="宋体"/>
          <w:color w:val="auto"/>
          <w:szCs w:val="20"/>
          <w:highlight w:val="none"/>
        </w:rPr>
      </w:pPr>
      <w:r>
        <w:rPr>
          <w:rFonts w:hint="eastAsia" w:ascii="宋体" w:hAnsi="宋体" w:cs="宋体"/>
          <w:color w:val="auto"/>
          <w:szCs w:val="20"/>
          <w:highlight w:val="none"/>
        </w:rPr>
        <w:t>本公司对上述声明的真实性负责。如有虚假，将依法承担相应责任。</w:t>
      </w:r>
    </w:p>
    <w:p>
      <w:pPr>
        <w:spacing w:line="360" w:lineRule="auto"/>
        <w:rPr>
          <w:rFonts w:ascii="宋体" w:hAnsi="宋体" w:cs="宋体"/>
          <w:color w:val="auto"/>
          <w:szCs w:val="20"/>
          <w:highlight w:val="none"/>
        </w:rPr>
      </w:pPr>
    </w:p>
    <w:p>
      <w:pPr>
        <w:spacing w:line="360" w:lineRule="auto"/>
        <w:rPr>
          <w:rFonts w:ascii="宋体" w:hAnsi="宋体" w:cs="宋体"/>
          <w:color w:val="auto"/>
          <w:szCs w:val="20"/>
          <w:highlight w:val="none"/>
        </w:rPr>
      </w:pPr>
    </w:p>
    <w:p>
      <w:pPr>
        <w:spacing w:line="360" w:lineRule="auto"/>
        <w:rPr>
          <w:rFonts w:ascii="宋体" w:hAnsi="宋体" w:cs="宋体"/>
          <w:color w:val="auto"/>
          <w:szCs w:val="20"/>
          <w:highlight w:val="none"/>
        </w:rPr>
      </w:pPr>
    </w:p>
    <w:p>
      <w:pPr>
        <w:spacing w:line="360" w:lineRule="auto"/>
        <w:ind w:firstLine="4200" w:firstLineChars="2000"/>
        <w:rPr>
          <w:rFonts w:ascii="宋体" w:hAnsi="宋体" w:cs="宋体"/>
          <w:color w:val="auto"/>
          <w:szCs w:val="20"/>
          <w:highlight w:val="none"/>
        </w:rPr>
      </w:pPr>
      <w:r>
        <w:rPr>
          <w:rFonts w:hint="eastAsia" w:ascii="宋体" w:hAnsi="宋体" w:cs="宋体"/>
          <w:color w:val="auto"/>
          <w:szCs w:val="20"/>
          <w:highlight w:val="none"/>
        </w:rPr>
        <w:t>企业名称（盖章）：</w:t>
      </w:r>
    </w:p>
    <w:p>
      <w:pPr>
        <w:spacing w:line="360" w:lineRule="auto"/>
        <w:ind w:firstLine="4200" w:firstLineChars="2000"/>
        <w:rPr>
          <w:rFonts w:ascii="宋体" w:hAnsi="宋体" w:cs="宋体"/>
          <w:color w:val="auto"/>
          <w:szCs w:val="20"/>
          <w:highlight w:val="none"/>
        </w:rPr>
      </w:pPr>
    </w:p>
    <w:p>
      <w:pPr>
        <w:spacing w:line="360" w:lineRule="auto"/>
        <w:ind w:firstLine="4200" w:firstLineChars="2000"/>
        <w:rPr>
          <w:rFonts w:ascii="宋体" w:hAnsi="宋体" w:cs="宋体"/>
          <w:color w:val="auto"/>
          <w:szCs w:val="20"/>
          <w:highlight w:val="none"/>
        </w:rPr>
        <w:sectPr>
          <w:headerReference r:id="rId15" w:type="first"/>
          <w:headerReference r:id="rId14" w:type="default"/>
          <w:footerReference r:id="rId16" w:type="default"/>
          <w:footerReference r:id="rId17" w:type="even"/>
          <w:pgSz w:w="11906" w:h="16838"/>
          <w:pgMar w:top="1094" w:right="748" w:bottom="1094" w:left="1259" w:header="851" w:footer="567" w:gutter="0"/>
          <w:cols w:space="720" w:num="1"/>
          <w:titlePg/>
          <w:docGrid w:type="lines" w:linePitch="312" w:charSpace="0"/>
        </w:sectPr>
      </w:pPr>
      <w:r>
        <w:rPr>
          <w:rFonts w:hint="eastAsia" w:ascii="宋体" w:hAnsi="宋体" w:cs="宋体"/>
          <w:color w:val="auto"/>
          <w:szCs w:val="20"/>
          <w:highlight w:val="none"/>
        </w:rPr>
        <w:t>日　期：</w:t>
      </w:r>
    </w:p>
    <w:bookmarkEnd w:id="133"/>
    <w:bookmarkEnd w:id="134"/>
    <w:bookmarkEnd w:id="135"/>
    <w:p>
      <w:pPr>
        <w:rPr>
          <w:rFonts w:ascii="宋体" w:hAnsi="宋体" w:cs="宋体"/>
          <w:color w:val="auto"/>
          <w:sz w:val="36"/>
          <w:szCs w:val="36"/>
          <w:highlight w:val="none"/>
        </w:rPr>
      </w:pPr>
      <w:r>
        <w:rPr>
          <w:rFonts w:hint="eastAsia" w:ascii="宋体" w:hAnsi="宋体" w:cs="宋体"/>
          <w:b/>
          <w:bCs/>
          <w:color w:val="auto"/>
          <w:sz w:val="28"/>
          <w:szCs w:val="28"/>
          <w:highlight w:val="none"/>
        </w:rPr>
        <w:t>附件2：</w:t>
      </w:r>
    </w:p>
    <w:p>
      <w:pPr>
        <w:spacing w:line="588" w:lineRule="exact"/>
        <w:jc w:val="center"/>
        <w:rPr>
          <w:rFonts w:ascii="宋体" w:hAnsi="宋体" w:cs="宋体"/>
          <w:b/>
          <w:bCs/>
          <w:color w:val="auto"/>
          <w:kern w:val="0"/>
          <w:sz w:val="32"/>
          <w:szCs w:val="32"/>
          <w:highlight w:val="none"/>
        </w:rPr>
      </w:pPr>
    </w:p>
    <w:p>
      <w:pPr>
        <w:spacing w:line="588" w:lineRule="exact"/>
        <w:jc w:val="center"/>
        <w:rPr>
          <w:rFonts w:ascii="宋体" w:hAnsi="宋体" w:cs="宋体"/>
          <w:b/>
          <w:bCs/>
          <w:color w:val="auto"/>
          <w:kern w:val="0"/>
          <w:sz w:val="32"/>
          <w:szCs w:val="32"/>
          <w:highlight w:val="none"/>
        </w:rPr>
      </w:pPr>
    </w:p>
    <w:p>
      <w:pPr>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残疾人福利性单位声明函</w:t>
      </w:r>
    </w:p>
    <w:p>
      <w:pPr>
        <w:spacing w:line="588" w:lineRule="exact"/>
        <w:rPr>
          <w:rFonts w:ascii="宋体" w:hAnsi="宋体" w:cs="宋体"/>
          <w:b/>
          <w:color w:val="auto"/>
          <w:spacing w:val="6"/>
          <w:sz w:val="30"/>
          <w:szCs w:val="30"/>
          <w:highlight w:val="none"/>
        </w:rPr>
      </w:pP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本单位对上述声明的真实性负责。如有虚假，将依法承担相应责任。</w:t>
      </w: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                                      单位名称（盖章）：</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                                      日  期：</w:t>
      </w:r>
    </w:p>
    <w:p>
      <w:pPr>
        <w:pStyle w:val="2"/>
        <w:rPr>
          <w:color w:val="auto"/>
          <w:highlight w:val="none"/>
        </w:rPr>
      </w:pPr>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rPr>
          <w:rFonts w:ascii="宋体" w:hAnsi="宋体" w:cs="宋体"/>
          <w:color w:val="auto"/>
          <w:sz w:val="36"/>
          <w:szCs w:val="36"/>
          <w:highlight w:val="none"/>
        </w:rPr>
      </w:pPr>
      <w:r>
        <w:rPr>
          <w:rFonts w:hint="eastAsia" w:ascii="宋体" w:hAnsi="宋体" w:cs="宋体"/>
          <w:b/>
          <w:bCs/>
          <w:color w:val="auto"/>
          <w:sz w:val="28"/>
          <w:szCs w:val="28"/>
          <w:highlight w:val="none"/>
        </w:rPr>
        <w:t>附件3：</w:t>
      </w:r>
    </w:p>
    <w:p>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竞标保证金退还申请书</w:t>
      </w:r>
    </w:p>
    <w:p>
      <w:pPr>
        <w:spacing w:line="360" w:lineRule="auto"/>
        <w:jc w:val="center"/>
        <w:rPr>
          <w:rFonts w:hint="eastAsia" w:ascii="Calibri" w:hAnsi="Calibri"/>
          <w:color w:val="auto"/>
          <w:sz w:val="24"/>
          <w:highlight w:val="none"/>
        </w:rPr>
      </w:pPr>
      <w:r>
        <w:rPr>
          <w:rFonts w:hint="eastAsia" w:ascii="Calibri" w:hAnsi="Calibri"/>
          <w:color w:val="auto"/>
          <w:sz w:val="24"/>
          <w:highlight w:val="none"/>
        </w:rPr>
        <w:t>（由竞标单位在竞标结束后出具）</w:t>
      </w:r>
    </w:p>
    <w:p>
      <w:pPr>
        <w:rPr>
          <w:rFonts w:hAnsi="宋体"/>
          <w:color w:val="auto"/>
          <w:sz w:val="24"/>
          <w:highlight w:val="none"/>
        </w:rPr>
      </w:pP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致:</w:t>
      </w:r>
      <w:r>
        <w:rPr>
          <w:rFonts w:ascii="宋体" w:hAnsi="宋体" w:cs="宋体"/>
          <w:color w:val="auto"/>
          <w:szCs w:val="20"/>
          <w:highlight w:val="none"/>
        </w:rPr>
        <w:t xml:space="preserve"> </w:t>
      </w:r>
      <w:r>
        <w:rPr>
          <w:rFonts w:hint="eastAsia" w:ascii="宋体" w:hAnsi="宋体" w:cs="宋体"/>
          <w:color w:val="auto"/>
          <w:szCs w:val="20"/>
          <w:highlight w:val="none"/>
        </w:rPr>
        <w:t>广西祥立工程咨询有限责任公司</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我单位于   年  月  日参加     项目竞标，（项目编号：      ），本公司以银行转账方式缴纳竞标保证金额为：人民币    （￥    元）。现竞标工作已结束，我单位</w:t>
      </w:r>
      <w:r>
        <w:rPr>
          <w:rFonts w:hint="eastAsia" w:ascii="宋体" w:hAnsi="宋体" w:cs="宋体"/>
          <w:color w:val="auto"/>
          <w:szCs w:val="20"/>
          <w:highlight w:val="none"/>
          <w:u w:val="single"/>
        </w:rPr>
        <w:t>未中标/已中标</w:t>
      </w:r>
      <w:r>
        <w:rPr>
          <w:rFonts w:hint="eastAsia" w:ascii="宋体" w:hAnsi="宋体" w:cs="宋体"/>
          <w:color w:val="auto"/>
          <w:szCs w:val="20"/>
          <w:highlight w:val="none"/>
        </w:rPr>
        <w:t>。按照竞争性谈判文件规定，我单位申请贵单位退还该项目竞标保证金至我公司以下账户中，请予办理。</w:t>
      </w: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开户名全称：                      </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开户行全称：                      </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账      号：                      </w:t>
      </w: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p>
    <w:p>
      <w:pPr>
        <w:spacing w:line="360" w:lineRule="auto"/>
        <w:ind w:firstLine="3045" w:firstLineChars="1450"/>
        <w:rPr>
          <w:rFonts w:ascii="宋体" w:hAnsi="宋体" w:cs="宋体"/>
          <w:color w:val="auto"/>
          <w:szCs w:val="20"/>
          <w:highlight w:val="none"/>
        </w:rPr>
      </w:pPr>
      <w:r>
        <w:rPr>
          <w:rFonts w:hint="eastAsia" w:ascii="宋体" w:hAnsi="宋体" w:cs="宋体"/>
          <w:color w:val="auto"/>
          <w:szCs w:val="20"/>
          <w:highlight w:val="none"/>
        </w:rPr>
        <w:t xml:space="preserve">公司（全称并加盖公章）：                           </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                         </w:t>
      </w:r>
    </w:p>
    <w:p>
      <w:pPr>
        <w:spacing w:line="360" w:lineRule="auto"/>
        <w:ind w:firstLine="420" w:firstLineChars="200"/>
        <w:rPr>
          <w:rFonts w:ascii="宋体" w:hAnsi="宋体" w:cs="宋体"/>
          <w:color w:val="auto"/>
          <w:szCs w:val="20"/>
          <w:highlight w:val="none"/>
        </w:rPr>
      </w:pPr>
      <w:r>
        <w:rPr>
          <w:rFonts w:hint="eastAsia" w:ascii="宋体" w:hAnsi="宋体" w:cs="宋体"/>
          <w:color w:val="auto"/>
          <w:szCs w:val="20"/>
          <w:highlight w:val="none"/>
        </w:rPr>
        <w:t xml:space="preserve">                         日   期：      年   月  日</w:t>
      </w: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ascii="宋体" w:hAnsi="宋体" w:cs="宋体"/>
          <w:color w:val="auto"/>
          <w:szCs w:val="20"/>
          <w:highlight w:val="none"/>
        </w:rPr>
      </w:pPr>
    </w:p>
    <w:p>
      <w:pPr>
        <w:spacing w:line="360" w:lineRule="auto"/>
        <w:ind w:firstLine="420" w:firstLineChars="200"/>
        <w:rPr>
          <w:rFonts w:hint="eastAsia" w:ascii="宋体" w:hAnsi="宋体" w:cs="宋体"/>
          <w:color w:val="auto"/>
          <w:szCs w:val="20"/>
          <w:highlight w:val="none"/>
        </w:rPr>
      </w:pPr>
      <w:r>
        <w:rPr>
          <w:rFonts w:hint="eastAsia" w:ascii="宋体" w:hAnsi="宋体" w:cs="宋体"/>
          <w:color w:val="auto"/>
          <w:szCs w:val="20"/>
          <w:highlight w:val="none"/>
        </w:rPr>
        <w:t>附：银行转账底单复印件并加盖单位公章</w:t>
      </w:r>
    </w:p>
    <w:p>
      <w:pPr>
        <w:spacing w:line="360" w:lineRule="auto"/>
        <w:ind w:firstLine="420" w:firstLineChars="200"/>
        <w:rPr>
          <w:rFonts w:ascii="宋体" w:hAnsi="宋体" w:cs="宋体"/>
          <w:color w:val="auto"/>
          <w:szCs w:val="20"/>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3"/>
        <w:widowControl/>
        <w:rPr>
          <w:color w:val="auto"/>
          <w:szCs w:val="36"/>
          <w:highlight w:val="none"/>
        </w:rPr>
      </w:pPr>
      <w:bookmarkStart w:id="136" w:name="_Toc11398"/>
      <w:r>
        <w:rPr>
          <w:rFonts w:hint="eastAsia" w:eastAsia="黑体" w:cs="黑体"/>
          <w:color w:val="auto"/>
          <w:szCs w:val="36"/>
          <w:highlight w:val="none"/>
        </w:rPr>
        <w:t>签</w:t>
      </w:r>
      <w:r>
        <w:rPr>
          <w:color w:val="auto"/>
          <w:szCs w:val="36"/>
          <w:highlight w:val="none"/>
        </w:rPr>
        <w:t xml:space="preserve"> </w:t>
      </w:r>
      <w:r>
        <w:rPr>
          <w:rFonts w:hint="eastAsia" w:eastAsia="黑体" w:cs="黑体"/>
          <w:color w:val="auto"/>
          <w:szCs w:val="36"/>
          <w:highlight w:val="none"/>
        </w:rPr>
        <w:t>章</w:t>
      </w:r>
      <w:r>
        <w:rPr>
          <w:color w:val="auto"/>
          <w:szCs w:val="36"/>
          <w:highlight w:val="none"/>
        </w:rPr>
        <w:t xml:space="preserve"> </w:t>
      </w:r>
      <w:r>
        <w:rPr>
          <w:rFonts w:hint="eastAsia" w:eastAsia="黑体" w:cs="黑体"/>
          <w:color w:val="auto"/>
          <w:szCs w:val="36"/>
          <w:highlight w:val="none"/>
        </w:rPr>
        <w:t>页</w:t>
      </w:r>
      <w:bookmarkEnd w:id="136"/>
    </w:p>
    <w:tbl>
      <w:tblPr>
        <w:tblStyle w:val="14"/>
        <w:tblW w:w="8940" w:type="dxa"/>
        <w:jc w:val="center"/>
        <w:tblInd w:w="0" w:type="dxa"/>
        <w:tblLayout w:type="fixed"/>
        <w:tblCellMar>
          <w:top w:w="0" w:type="dxa"/>
          <w:left w:w="108" w:type="dxa"/>
          <w:bottom w:w="0" w:type="dxa"/>
          <w:right w:w="108" w:type="dxa"/>
        </w:tblCellMar>
      </w:tblPr>
      <w:tblGrid>
        <w:gridCol w:w="8940"/>
      </w:tblGrid>
      <w:tr>
        <w:tblPrEx>
          <w:tblLayout w:type="fixed"/>
          <w:tblCellMar>
            <w:top w:w="0" w:type="dxa"/>
            <w:left w:w="108" w:type="dxa"/>
            <w:bottom w:w="0" w:type="dxa"/>
            <w:right w:w="108" w:type="dxa"/>
          </w:tblCellMar>
        </w:tblPrEx>
        <w:trPr>
          <w:trHeight w:val="90" w:hRule="atLeast"/>
          <w:jc w:val="center"/>
        </w:trPr>
        <w:tc>
          <w:tcPr>
            <w:tcW w:w="8940" w:type="dxa"/>
          </w:tcPr>
          <w:p>
            <w:pPr>
              <w:spacing w:line="380" w:lineRule="exact"/>
              <w:rPr>
                <w:rFonts w:hAnsi="宋体" w:cs="宋体"/>
                <w:color w:val="auto"/>
                <w:sz w:val="24"/>
                <w:highlight w:val="none"/>
              </w:rPr>
            </w:pPr>
            <w:r>
              <w:rPr>
                <w:rFonts w:hint="eastAsia" w:hAnsi="宋体" w:cs="宋体"/>
                <w:color w:val="auto"/>
                <w:sz w:val="24"/>
                <w:highlight w:val="none"/>
              </w:rPr>
              <w:t xml:space="preserve"> </w:t>
            </w:r>
          </w:p>
          <w:p>
            <w:pPr>
              <w:spacing w:line="360" w:lineRule="auto"/>
              <w:ind w:firstLine="480" w:firstLineChars="200"/>
              <w:rPr>
                <w:rFonts w:hAnsi="宋体" w:cs="宋体"/>
                <w:color w:val="auto"/>
                <w:sz w:val="24"/>
                <w:highlight w:val="none"/>
              </w:rPr>
            </w:pPr>
            <w:r>
              <w:rPr>
                <w:rFonts w:hint="eastAsia" w:hAnsi="宋体" w:cs="宋体"/>
                <w:color w:val="auto"/>
                <w:sz w:val="24"/>
                <w:highlight w:val="none"/>
              </w:rPr>
              <w:t>我单位对</w:t>
            </w:r>
            <w:r>
              <w:rPr>
                <w:rFonts w:hint="eastAsia" w:hAnsi="宋体"/>
                <w:b/>
                <w:bCs/>
                <w:color w:val="auto"/>
                <w:sz w:val="24"/>
                <w:highlight w:val="none"/>
                <w:u w:val="single"/>
              </w:rPr>
              <w:t>法院移动办公办案终端及基础数据流量租用服务采购项目</w:t>
            </w:r>
            <w:r>
              <w:rPr>
                <w:rFonts w:hint="eastAsia" w:hAnsi="宋体" w:cs="宋体"/>
                <w:color w:val="auto"/>
                <w:sz w:val="24"/>
                <w:highlight w:val="none"/>
              </w:rPr>
              <w:t>（采购项目编号：</w:t>
            </w:r>
            <w:r>
              <w:rPr>
                <w:rFonts w:hint="eastAsia" w:hAnsi="宋体" w:cs="宋体"/>
                <w:b/>
                <w:color w:val="auto"/>
                <w:sz w:val="24"/>
                <w:highlight w:val="none"/>
                <w:u w:val="single"/>
              </w:rPr>
              <w:t>HCZC2019-J3-50001-GXXL</w:t>
            </w:r>
            <w:r>
              <w:rPr>
                <w:rFonts w:hint="eastAsia" w:hAnsi="宋体" w:cs="宋体"/>
                <w:color w:val="auto"/>
                <w:sz w:val="24"/>
                <w:highlight w:val="none"/>
                <w:u w:val="single"/>
              </w:rPr>
              <w:t>）</w:t>
            </w:r>
            <w:r>
              <w:rPr>
                <w:rFonts w:hint="eastAsia" w:hAnsi="宋体" w:cs="宋体"/>
                <w:color w:val="auto"/>
                <w:sz w:val="24"/>
                <w:highlight w:val="none"/>
              </w:rPr>
              <w:t>《竞争性谈判文件》已经审核确认。</w:t>
            </w:r>
          </w:p>
          <w:p>
            <w:pPr>
              <w:spacing w:line="380" w:lineRule="exact"/>
              <w:rPr>
                <w:rFonts w:hAnsi="宋体" w:cs="宋体"/>
                <w:color w:val="auto"/>
                <w:sz w:val="24"/>
                <w:highlight w:val="none"/>
              </w:rPr>
            </w:pPr>
            <w:r>
              <w:rPr>
                <w:rFonts w:hint="eastAsia" w:hAnsi="宋体" w:cs="宋体"/>
                <w:color w:val="auto"/>
                <w:sz w:val="24"/>
                <w:highlight w:val="none"/>
              </w:rPr>
              <w:t xml:space="preserve"> </w:t>
            </w:r>
          </w:p>
          <w:p>
            <w:pPr>
              <w:spacing w:line="380" w:lineRule="exact"/>
              <w:rPr>
                <w:rFonts w:hAnsi="宋体" w:cs="宋体"/>
                <w:color w:val="auto"/>
                <w:sz w:val="24"/>
                <w:highlight w:val="none"/>
              </w:rPr>
            </w:pPr>
            <w:r>
              <w:rPr>
                <w:rFonts w:hint="eastAsia" w:hAnsi="宋体" w:cs="宋体"/>
                <w:color w:val="auto"/>
                <w:sz w:val="24"/>
                <w:highlight w:val="none"/>
              </w:rPr>
              <w:t xml:space="preserve">  招标单位：</w:t>
            </w:r>
            <w:r>
              <w:rPr>
                <w:rFonts w:hint="eastAsia" w:hAnsi="宋体" w:cs="宋体"/>
                <w:color w:val="auto"/>
                <w:kern w:val="0"/>
                <w:sz w:val="24"/>
                <w:highlight w:val="none"/>
              </w:rPr>
              <w:t xml:space="preserve"> </w:t>
            </w:r>
            <w:r>
              <w:rPr>
                <w:rFonts w:hint="eastAsia" w:hAnsi="宋体" w:cs="宋体"/>
                <w:color w:val="auto"/>
                <w:sz w:val="24"/>
                <w:highlight w:val="none"/>
              </w:rPr>
              <w:t xml:space="preserve">东兰县人民法院                         </w:t>
            </w:r>
          </w:p>
          <w:p>
            <w:pPr>
              <w:spacing w:line="380" w:lineRule="exact"/>
              <w:ind w:firstLine="435"/>
              <w:rPr>
                <w:rFonts w:hAnsi="宋体" w:cs="宋体"/>
                <w:color w:val="auto"/>
                <w:sz w:val="24"/>
                <w:highlight w:val="none"/>
              </w:rPr>
            </w:pPr>
          </w:p>
          <w:p>
            <w:pPr>
              <w:spacing w:line="380" w:lineRule="exact"/>
              <w:ind w:firstLine="240" w:firstLineChars="100"/>
              <w:rPr>
                <w:rFonts w:hint="eastAsia" w:hAnsi="宋体" w:eastAsia="宋体" w:cs="宋体"/>
                <w:color w:val="auto"/>
                <w:sz w:val="24"/>
                <w:highlight w:val="none"/>
                <w:lang w:eastAsia="zh-CN"/>
              </w:rPr>
            </w:pPr>
            <w:r>
              <w:rPr>
                <w:rFonts w:hint="eastAsia" w:hAnsi="宋体" w:cs="宋体"/>
                <w:color w:val="auto"/>
                <w:sz w:val="24"/>
                <w:highlight w:val="none"/>
                <w:lang w:eastAsia="zh-CN"/>
              </w:rPr>
              <w:t>法定代表人或负责人</w:t>
            </w:r>
          </w:p>
          <w:p>
            <w:pPr>
              <w:spacing w:line="380" w:lineRule="exact"/>
              <w:ind w:firstLine="240" w:firstLineChars="100"/>
              <w:rPr>
                <w:rFonts w:hAnsi="宋体" w:cs="宋体"/>
                <w:color w:val="auto"/>
                <w:sz w:val="24"/>
                <w:highlight w:val="none"/>
              </w:rPr>
            </w:pPr>
            <w:r>
              <w:rPr>
                <w:rFonts w:hint="eastAsia" w:hAnsi="宋体" w:cs="宋体"/>
                <w:color w:val="auto"/>
                <w:sz w:val="24"/>
                <w:highlight w:val="none"/>
              </w:rPr>
              <w:t>或委托代理人签章：</w:t>
            </w:r>
          </w:p>
          <w:p>
            <w:pPr>
              <w:spacing w:line="380" w:lineRule="exact"/>
              <w:rPr>
                <w:rFonts w:hAnsi="宋体" w:cs="宋体"/>
                <w:color w:val="auto"/>
                <w:sz w:val="24"/>
                <w:highlight w:val="none"/>
              </w:rPr>
            </w:pPr>
            <w:r>
              <w:rPr>
                <w:rFonts w:hint="eastAsia" w:hAnsi="宋体" w:cs="宋体"/>
                <w:color w:val="auto"/>
                <w:sz w:val="24"/>
                <w:highlight w:val="none"/>
              </w:rPr>
              <w:t xml:space="preserve">    </w:t>
            </w:r>
          </w:p>
          <w:p>
            <w:pPr>
              <w:spacing w:line="380" w:lineRule="exact"/>
              <w:rPr>
                <w:rFonts w:hAnsi="宋体" w:cs="宋体"/>
                <w:color w:val="auto"/>
                <w:sz w:val="24"/>
                <w:highlight w:val="none"/>
              </w:rPr>
            </w:pPr>
          </w:p>
          <w:p>
            <w:pPr>
              <w:spacing w:line="380" w:lineRule="exact"/>
              <w:ind w:firstLine="435"/>
              <w:rPr>
                <w:rFonts w:hAnsi="宋体" w:cs="宋体"/>
                <w:color w:val="auto"/>
                <w:sz w:val="24"/>
                <w:highlight w:val="none"/>
              </w:rPr>
            </w:pPr>
            <w:r>
              <w:rPr>
                <w:rFonts w:hint="eastAsia" w:hAnsi="宋体" w:cs="宋体"/>
                <w:color w:val="auto"/>
                <w:sz w:val="24"/>
                <w:highlight w:val="none"/>
              </w:rPr>
              <w:t xml:space="preserve">                                                  （单位盖章）</w:t>
            </w:r>
          </w:p>
          <w:p>
            <w:pPr>
              <w:spacing w:line="380" w:lineRule="exact"/>
              <w:ind w:firstLine="435"/>
              <w:rPr>
                <w:rFonts w:hAnsi="宋体" w:cs="宋体"/>
                <w:color w:val="auto"/>
                <w:sz w:val="24"/>
                <w:highlight w:val="none"/>
              </w:rPr>
            </w:pPr>
          </w:p>
          <w:p>
            <w:pPr>
              <w:spacing w:line="380" w:lineRule="exact"/>
              <w:rPr>
                <w:rFonts w:hAnsi="宋体" w:cs="宋体"/>
                <w:color w:val="auto"/>
                <w:sz w:val="24"/>
                <w:highlight w:val="none"/>
              </w:rPr>
            </w:pPr>
            <w:r>
              <w:rPr>
                <w:rFonts w:hint="eastAsia" w:hAnsi="宋体" w:cs="宋体"/>
                <w:color w:val="auto"/>
                <w:sz w:val="24"/>
                <w:highlight w:val="none"/>
              </w:rPr>
              <w:t xml:space="preserve">                                                   2019年     月    日</w:t>
            </w:r>
          </w:p>
          <w:p>
            <w:pPr>
              <w:spacing w:line="380" w:lineRule="exact"/>
              <w:rPr>
                <w:rFonts w:hAnsi="宋体" w:cs="宋体"/>
                <w:color w:val="auto"/>
                <w:sz w:val="24"/>
                <w:highlight w:val="none"/>
              </w:rPr>
            </w:pPr>
          </w:p>
        </w:tc>
      </w:tr>
      <w:tr>
        <w:tblPrEx>
          <w:tblLayout w:type="fixed"/>
          <w:tblCellMar>
            <w:top w:w="0" w:type="dxa"/>
            <w:left w:w="108" w:type="dxa"/>
            <w:bottom w:w="0" w:type="dxa"/>
            <w:right w:w="108" w:type="dxa"/>
          </w:tblCellMar>
        </w:tblPrEx>
        <w:trPr>
          <w:trHeight w:val="90" w:hRule="atLeast"/>
          <w:jc w:val="center"/>
        </w:trPr>
        <w:tc>
          <w:tcPr>
            <w:tcW w:w="8940" w:type="dxa"/>
          </w:tcPr>
          <w:p>
            <w:pPr>
              <w:spacing w:line="380" w:lineRule="exact"/>
              <w:rPr>
                <w:rFonts w:hAnsi="宋体" w:cs="宋体"/>
                <w:color w:val="auto"/>
                <w:sz w:val="24"/>
                <w:highlight w:val="none"/>
              </w:rPr>
            </w:pPr>
            <w:r>
              <w:rPr>
                <w:rFonts w:hint="eastAsia" w:hAnsi="宋体" w:cs="宋体"/>
                <w:color w:val="auto"/>
                <w:sz w:val="24"/>
                <w:highlight w:val="none"/>
              </w:rPr>
              <w:t xml:space="preserve">  </w:t>
            </w:r>
          </w:p>
          <w:p>
            <w:pPr>
              <w:spacing w:line="380" w:lineRule="exact"/>
              <w:ind w:firstLine="424" w:firstLineChars="177"/>
              <w:rPr>
                <w:rFonts w:hAnsi="宋体" w:cs="宋体"/>
                <w:color w:val="auto"/>
                <w:sz w:val="24"/>
                <w:highlight w:val="none"/>
              </w:rPr>
            </w:pPr>
            <w:r>
              <w:rPr>
                <w:rFonts w:hint="eastAsia" w:hAnsi="宋体" w:cs="宋体"/>
                <w:color w:val="auto"/>
                <w:sz w:val="24"/>
                <w:highlight w:val="none"/>
              </w:rPr>
              <w:t xml:space="preserve">招标代理机构： 广西祥立工程咨询有限责任公司 </w:t>
            </w:r>
          </w:p>
          <w:p>
            <w:pPr>
              <w:spacing w:line="380" w:lineRule="exact"/>
              <w:ind w:firstLine="435"/>
              <w:rPr>
                <w:rFonts w:hAnsi="宋体" w:cs="宋体"/>
                <w:color w:val="auto"/>
                <w:sz w:val="24"/>
                <w:highlight w:val="none"/>
              </w:rPr>
            </w:pPr>
          </w:p>
          <w:p>
            <w:pPr>
              <w:spacing w:line="380" w:lineRule="exact"/>
              <w:ind w:firstLine="435"/>
              <w:rPr>
                <w:rFonts w:hint="eastAsia" w:hAnsi="宋体" w:eastAsia="宋体" w:cs="宋体"/>
                <w:color w:val="auto"/>
                <w:sz w:val="24"/>
                <w:highlight w:val="none"/>
                <w:lang w:eastAsia="zh-CN"/>
              </w:rPr>
            </w:pPr>
            <w:r>
              <w:rPr>
                <w:rFonts w:hint="eastAsia" w:hAnsi="宋体" w:cs="宋体"/>
                <w:color w:val="auto"/>
                <w:sz w:val="24"/>
                <w:highlight w:val="none"/>
                <w:lang w:eastAsia="zh-CN"/>
              </w:rPr>
              <w:t>法定代表人或负责人</w:t>
            </w:r>
          </w:p>
          <w:p>
            <w:pPr>
              <w:spacing w:line="380" w:lineRule="exact"/>
              <w:ind w:firstLine="480" w:firstLineChars="200"/>
              <w:rPr>
                <w:rFonts w:hAnsi="宋体" w:cs="宋体"/>
                <w:color w:val="auto"/>
                <w:sz w:val="24"/>
                <w:highlight w:val="none"/>
              </w:rPr>
            </w:pPr>
            <w:r>
              <w:rPr>
                <w:rFonts w:hint="eastAsia" w:hAnsi="宋体" w:cs="宋体"/>
                <w:color w:val="auto"/>
                <w:sz w:val="24"/>
                <w:highlight w:val="none"/>
              </w:rPr>
              <w:t>或委托代理人签章：</w:t>
            </w:r>
          </w:p>
          <w:p>
            <w:pPr>
              <w:spacing w:line="380" w:lineRule="exact"/>
              <w:ind w:firstLine="435"/>
              <w:rPr>
                <w:rFonts w:hAnsi="宋体" w:cs="宋体"/>
                <w:color w:val="auto"/>
                <w:sz w:val="24"/>
                <w:highlight w:val="none"/>
              </w:rPr>
            </w:pPr>
          </w:p>
          <w:p>
            <w:pPr>
              <w:spacing w:line="400" w:lineRule="exact"/>
              <w:rPr>
                <w:rFonts w:hAnsi="宋体" w:cs="宋体"/>
                <w:color w:val="auto"/>
                <w:szCs w:val="21"/>
                <w:highlight w:val="none"/>
              </w:rPr>
            </w:pPr>
            <w:r>
              <w:rPr>
                <w:rFonts w:hint="eastAsia" w:hAnsi="宋体" w:cs="宋体"/>
                <w:color w:val="auto"/>
                <w:sz w:val="24"/>
                <w:highlight w:val="none"/>
              </w:rPr>
              <w:t xml:space="preserve"> </w:t>
            </w:r>
          </w:p>
          <w:p>
            <w:pPr>
              <w:spacing w:line="380" w:lineRule="exact"/>
              <w:rPr>
                <w:rFonts w:hAnsi="宋体" w:cs="宋体"/>
                <w:color w:val="auto"/>
                <w:sz w:val="24"/>
                <w:highlight w:val="none"/>
              </w:rPr>
            </w:pPr>
          </w:p>
          <w:p>
            <w:pPr>
              <w:spacing w:line="380" w:lineRule="exact"/>
              <w:ind w:firstLine="435"/>
              <w:rPr>
                <w:rFonts w:hAnsi="宋体" w:cs="宋体"/>
                <w:color w:val="auto"/>
                <w:sz w:val="24"/>
                <w:highlight w:val="none"/>
              </w:rPr>
            </w:pPr>
            <w:r>
              <w:rPr>
                <w:rFonts w:hint="eastAsia" w:hAnsi="宋体" w:cs="宋体"/>
                <w:color w:val="auto"/>
                <w:sz w:val="24"/>
                <w:highlight w:val="none"/>
              </w:rPr>
              <w:t xml:space="preserve">                                                  （单位盖章）</w:t>
            </w:r>
          </w:p>
          <w:p>
            <w:pPr>
              <w:spacing w:line="380" w:lineRule="exact"/>
              <w:ind w:firstLine="435"/>
              <w:rPr>
                <w:rFonts w:hAnsi="宋体" w:cs="宋体"/>
                <w:color w:val="auto"/>
                <w:sz w:val="24"/>
                <w:highlight w:val="none"/>
              </w:rPr>
            </w:pPr>
          </w:p>
          <w:p>
            <w:pPr>
              <w:spacing w:line="380" w:lineRule="exact"/>
              <w:rPr>
                <w:rFonts w:hAnsi="宋体" w:cs="宋体"/>
                <w:color w:val="auto"/>
                <w:sz w:val="24"/>
                <w:highlight w:val="none"/>
              </w:rPr>
            </w:pPr>
            <w:r>
              <w:rPr>
                <w:rFonts w:hint="eastAsia" w:hAnsi="宋体" w:cs="宋体"/>
                <w:color w:val="auto"/>
                <w:sz w:val="24"/>
                <w:highlight w:val="none"/>
              </w:rPr>
              <w:t xml:space="preserve">                                                2019年     月    日</w:t>
            </w:r>
          </w:p>
          <w:p>
            <w:pPr>
              <w:spacing w:line="380" w:lineRule="exact"/>
              <w:rPr>
                <w:rFonts w:hAnsi="宋体" w:cs="宋体"/>
                <w:color w:val="auto"/>
                <w:sz w:val="24"/>
                <w:highlight w:val="none"/>
              </w:rPr>
            </w:pPr>
          </w:p>
        </w:tc>
      </w:tr>
    </w:tbl>
    <w:p>
      <w:pPr>
        <w:pStyle w:val="2"/>
        <w:rPr>
          <w:color w:val="auto"/>
          <w:highlight w:val="none"/>
        </w:rPr>
      </w:pPr>
    </w:p>
    <w:sectPr>
      <w:headerReference r:id="rId19" w:type="first"/>
      <w:headerReference r:id="rId18" w:type="default"/>
      <w:footerReference r:id="rId20" w:type="default"/>
      <w:footerReference r:id="rId21" w:type="even"/>
      <w:pgSz w:w="11906" w:h="16838"/>
      <w:pgMar w:top="850" w:right="907" w:bottom="850" w:left="1361" w:header="851" w:footer="34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4101" o:spid="_x0000_s4101"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kDa5gvQEAAGQDAAAOAAAAAAAAAAEAIAAAAB4BAABkcnMvZTJvRG9jLnhtbFBLBQYAAAAA&#10;BgAGAFkBAABNBQAAAAA=&#1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90" w:firstLineChars="50"/>
      <w:jc w:val="center"/>
      <w:rPr>
        <w:rFonts w:ascii="幼圆" w:eastAsia="幼圆"/>
      </w:rPr>
    </w:pP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xGInwbcBAABVAwAADgAAAAAAAAABACAAAAAiAQAAZHJzL2Uyb0RvYy54bWxQSwUGAAAAAAYA&#10;BgBZAQAASwUAAAAA&#10;">
          <v:path/>
          <v:fill on="f" focussize="0,0"/>
          <v:stroke on="f" weight="1.25pt" joinstyle="miter"/>
          <v:imagedata o:title=""/>
          <o:lock v:ext="edit"/>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w:pict>
        <v:shape id="_x0000_s4100" o:spid="_x0000_s4100"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path/>
          <v:fill on="f" focussize="0,0"/>
          <v:stroke on="f" weight="1.25pt" joinstyle="miter"/>
          <v:imagedata o:title=""/>
          <o:lock v:ext="edit"/>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38</w:t>
                </w:r>
                <w:r>
                  <w:rPr>
                    <w:rFonts w:hint="eastAsia"/>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6"/>
      </w:rPr>
    </w:pPr>
    <w:r>
      <w:fldChar w:fldCharType="begin"/>
    </w:r>
    <w:r>
      <w:rPr>
        <w:rStyle w:val="16"/>
      </w:rPr>
      <w:instrText xml:space="preserve">PAGE  </w:instrText>
    </w:r>
    <w:r>
      <w:fldChar w:fldCharType="separate"/>
    </w:r>
    <w:r>
      <w:rPr>
        <w:rStyle w:val="16"/>
      </w:rPr>
      <w:t>29</w:t>
    </w:r>
    <w:r>
      <w:fldChar w:fldCharType="end"/>
    </w:r>
  </w:p>
  <w:p>
    <w:pPr>
      <w:pStyle w:val="11"/>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w:pict>
        <v:shape id="_x0000_s4099" o:spid="_x0000_s4099"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EVLlT7cBAABVAwAADgAAAAAAAAABACAAAAAiAQAAZHJzL2Uyb0RvYy54bWxQSwUGAAAAAAYA&#10;BgBZAQAASwUAAAAA&#10;">
          <v:path/>
          <v:fill on="f" focussize="0,0"/>
          <v:stroke on="f" weight="1.25pt" joinstyle="miter"/>
          <v:imagedata o:title=""/>
          <o:lock v:ext="edit"/>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6"/>
      </w:rPr>
    </w:pPr>
    <w:r>
      <w:fldChar w:fldCharType="begin"/>
    </w:r>
    <w:r>
      <w:rPr>
        <w:rStyle w:val="16"/>
      </w:rPr>
      <w:instrText xml:space="preserve">PAGE  </w:instrText>
    </w:r>
    <w:r>
      <w:fldChar w:fldCharType="separate"/>
    </w:r>
    <w:r>
      <w:rPr>
        <w:rStyle w:val="16"/>
      </w:rPr>
      <w:t>29</w:t>
    </w:r>
    <w: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12" w:lineRule="auto"/>
      <w:ind w:left="-571" w:leftChars="-272" w:firstLine="180" w:firstLineChars="100"/>
      <w:jc w:val="center"/>
      <w:rPr>
        <w:color w:val="FF0000"/>
        <w:sz w:val="18"/>
        <w:szCs w:val="18"/>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sz w:val="15"/>
        <w:szCs w:val="15"/>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方正仿宋简体" w:eastAsia="方正仿宋简体"/>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方正仿宋简体" w:eastAsia="方正仿宋简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03D430"/>
    <w:multiLevelType w:val="singleLevel"/>
    <w:tmpl w:val="5403D43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96E3A06"/>
    <w:rsid w:val="00072BBD"/>
    <w:rsid w:val="001941C0"/>
    <w:rsid w:val="0019703A"/>
    <w:rsid w:val="001A35D5"/>
    <w:rsid w:val="001A3B94"/>
    <w:rsid w:val="001B3D4E"/>
    <w:rsid w:val="001F2729"/>
    <w:rsid w:val="00244588"/>
    <w:rsid w:val="0025539A"/>
    <w:rsid w:val="002C1E7D"/>
    <w:rsid w:val="002C284A"/>
    <w:rsid w:val="002D7AA8"/>
    <w:rsid w:val="002E05E9"/>
    <w:rsid w:val="00340EE8"/>
    <w:rsid w:val="00380B64"/>
    <w:rsid w:val="003B1DE2"/>
    <w:rsid w:val="003F5F20"/>
    <w:rsid w:val="00437714"/>
    <w:rsid w:val="00472C3F"/>
    <w:rsid w:val="004B5C3D"/>
    <w:rsid w:val="005756A3"/>
    <w:rsid w:val="005A6F4B"/>
    <w:rsid w:val="005C2B44"/>
    <w:rsid w:val="006A2E50"/>
    <w:rsid w:val="00722092"/>
    <w:rsid w:val="0072714F"/>
    <w:rsid w:val="007F65F2"/>
    <w:rsid w:val="008E3552"/>
    <w:rsid w:val="009253CD"/>
    <w:rsid w:val="00942B2E"/>
    <w:rsid w:val="00951954"/>
    <w:rsid w:val="009E292F"/>
    <w:rsid w:val="00A71214"/>
    <w:rsid w:val="00A9499A"/>
    <w:rsid w:val="00B1283D"/>
    <w:rsid w:val="00B70295"/>
    <w:rsid w:val="00BA6CF8"/>
    <w:rsid w:val="00BC6B58"/>
    <w:rsid w:val="00BD0AC2"/>
    <w:rsid w:val="00CB057C"/>
    <w:rsid w:val="00D07082"/>
    <w:rsid w:val="00D472E6"/>
    <w:rsid w:val="00D9096E"/>
    <w:rsid w:val="00F100C9"/>
    <w:rsid w:val="00F70A24"/>
    <w:rsid w:val="00FE1769"/>
    <w:rsid w:val="010958B8"/>
    <w:rsid w:val="02461923"/>
    <w:rsid w:val="03380609"/>
    <w:rsid w:val="061C47BB"/>
    <w:rsid w:val="070D613E"/>
    <w:rsid w:val="0784539E"/>
    <w:rsid w:val="096E3A06"/>
    <w:rsid w:val="0EAD2FA9"/>
    <w:rsid w:val="0FFF5E1D"/>
    <w:rsid w:val="10322080"/>
    <w:rsid w:val="10F97F74"/>
    <w:rsid w:val="114F0D9C"/>
    <w:rsid w:val="13A34417"/>
    <w:rsid w:val="14FB2E4F"/>
    <w:rsid w:val="15D86548"/>
    <w:rsid w:val="165478BE"/>
    <w:rsid w:val="16CC1D44"/>
    <w:rsid w:val="16E71683"/>
    <w:rsid w:val="19296FD6"/>
    <w:rsid w:val="1952474D"/>
    <w:rsid w:val="1B147FCA"/>
    <w:rsid w:val="1C9B3BB0"/>
    <w:rsid w:val="1F3E2C75"/>
    <w:rsid w:val="1FD16FF4"/>
    <w:rsid w:val="214C2670"/>
    <w:rsid w:val="2303211D"/>
    <w:rsid w:val="23867B9D"/>
    <w:rsid w:val="295A13C7"/>
    <w:rsid w:val="29D368B2"/>
    <w:rsid w:val="2F1E0120"/>
    <w:rsid w:val="338432F5"/>
    <w:rsid w:val="33941FB1"/>
    <w:rsid w:val="35830A3F"/>
    <w:rsid w:val="3629313E"/>
    <w:rsid w:val="37C618B7"/>
    <w:rsid w:val="3C69475C"/>
    <w:rsid w:val="3CCA7181"/>
    <w:rsid w:val="3F1F7177"/>
    <w:rsid w:val="400B5440"/>
    <w:rsid w:val="42E75D80"/>
    <w:rsid w:val="42F4254D"/>
    <w:rsid w:val="437D7D7E"/>
    <w:rsid w:val="446E568E"/>
    <w:rsid w:val="458D0039"/>
    <w:rsid w:val="46013BE7"/>
    <w:rsid w:val="478F58D5"/>
    <w:rsid w:val="48272A99"/>
    <w:rsid w:val="497A656C"/>
    <w:rsid w:val="4AA33736"/>
    <w:rsid w:val="4C69710B"/>
    <w:rsid w:val="4CA267B2"/>
    <w:rsid w:val="4FCA4C66"/>
    <w:rsid w:val="4FD0327E"/>
    <w:rsid w:val="4FD2728E"/>
    <w:rsid w:val="5429676A"/>
    <w:rsid w:val="56A96AC2"/>
    <w:rsid w:val="57C5137B"/>
    <w:rsid w:val="58A35CB5"/>
    <w:rsid w:val="59E815F5"/>
    <w:rsid w:val="5B0E5A3C"/>
    <w:rsid w:val="5E5E5D92"/>
    <w:rsid w:val="5FCF0297"/>
    <w:rsid w:val="609326FC"/>
    <w:rsid w:val="612D721B"/>
    <w:rsid w:val="645C2BA1"/>
    <w:rsid w:val="65376FD0"/>
    <w:rsid w:val="659276AB"/>
    <w:rsid w:val="66111BE3"/>
    <w:rsid w:val="66592941"/>
    <w:rsid w:val="66AA0D28"/>
    <w:rsid w:val="696E2EE8"/>
    <w:rsid w:val="69EB6548"/>
    <w:rsid w:val="6A086B66"/>
    <w:rsid w:val="6AF31226"/>
    <w:rsid w:val="6D91121D"/>
    <w:rsid w:val="709E2CA5"/>
    <w:rsid w:val="70FF1BDB"/>
    <w:rsid w:val="72461089"/>
    <w:rsid w:val="72797540"/>
    <w:rsid w:val="763858EE"/>
    <w:rsid w:val="786007FC"/>
    <w:rsid w:val="7BD4462F"/>
    <w:rsid w:val="7CB6212A"/>
    <w:rsid w:val="7CE5297C"/>
    <w:rsid w:val="7D144F57"/>
    <w:rsid w:val="7EA31FA7"/>
    <w:rsid w:val="7F176E21"/>
    <w:rsid w:val="7F2F0A11"/>
    <w:rsid w:val="7F6E6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jc w:val="center"/>
      <w:outlineLvl w:val="0"/>
    </w:pPr>
    <w:rPr>
      <w:b/>
      <w:sz w:val="36"/>
      <w:szCs w:val="20"/>
    </w:rPr>
  </w:style>
  <w:style w:type="paragraph" w:styleId="4">
    <w:name w:val="heading 2"/>
    <w:basedOn w:val="1"/>
    <w:next w:val="1"/>
    <w:qFormat/>
    <w:uiPriority w:val="0"/>
    <w:pPr>
      <w:keepNext/>
      <w:keepLines/>
      <w:spacing w:line="416" w:lineRule="auto"/>
      <w:outlineLvl w:val="1"/>
    </w:pPr>
    <w:rPr>
      <w:rFonts w:ascii="Arial" w:hAnsi="Arial" w:eastAsia="黑体"/>
      <w:b/>
      <w:sz w:val="32"/>
      <w:szCs w:val="20"/>
    </w:rPr>
  </w:style>
  <w:style w:type="paragraph" w:styleId="5">
    <w:name w:val="heading 3"/>
    <w:basedOn w:val="1"/>
    <w:next w:val="1"/>
    <w:qFormat/>
    <w:uiPriority w:val="9"/>
    <w:pPr>
      <w:keepNext/>
      <w:keepLines/>
      <w:spacing w:line="416" w:lineRule="auto"/>
      <w:outlineLvl w:val="2"/>
    </w:pPr>
    <w:rPr>
      <w:b/>
      <w:sz w:val="32"/>
      <w:szCs w:val="20"/>
    </w:rPr>
  </w:style>
  <w:style w:type="character" w:default="1" w:styleId="15">
    <w:name w:val="Default Paragraph Font"/>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6">
    <w:name w:val="toa heading"/>
    <w:basedOn w:val="1"/>
    <w:next w:val="1"/>
    <w:qFormat/>
    <w:uiPriority w:val="0"/>
    <w:rPr>
      <w:rFonts w:ascii="Arial" w:hAnsi="Arial" w:cs="Arial"/>
      <w:sz w:val="24"/>
    </w:rPr>
  </w:style>
  <w:style w:type="paragraph" w:styleId="7">
    <w:name w:val="annotation text"/>
    <w:basedOn w:val="1"/>
    <w:qFormat/>
    <w:uiPriority w:val="99"/>
    <w:pPr>
      <w:jc w:val="left"/>
    </w:pPr>
    <w:rPr>
      <w:sz w:val="24"/>
      <w:szCs w:val="20"/>
    </w:rPr>
  </w:style>
  <w:style w:type="paragraph" w:styleId="8">
    <w:name w:val="Body Text Indent"/>
    <w:basedOn w:val="1"/>
    <w:qFormat/>
    <w:uiPriority w:val="99"/>
    <w:pPr>
      <w:spacing w:line="200" w:lineRule="exact"/>
      <w:ind w:firstLine="301"/>
    </w:pPr>
    <w:rPr>
      <w:sz w:val="24"/>
      <w:szCs w:val="20"/>
    </w:rPr>
  </w:style>
  <w:style w:type="paragraph" w:styleId="9">
    <w:name w:val="Plain Text"/>
    <w:basedOn w:val="1"/>
    <w:next w:val="1"/>
    <w:link w:val="23"/>
    <w:qFormat/>
    <w:uiPriority w:val="0"/>
    <w:rPr>
      <w:rFonts w:ascii="宋体" w:hAnsi="Courier New"/>
      <w:szCs w:val="20"/>
    </w:rPr>
  </w:style>
  <w:style w:type="paragraph" w:styleId="10">
    <w:name w:val="Balloon Text"/>
    <w:basedOn w:val="1"/>
    <w:link w:val="22"/>
    <w:qFormat/>
    <w:uiPriority w:val="0"/>
    <w:rPr>
      <w:sz w:val="18"/>
      <w:szCs w:val="18"/>
    </w:rPr>
  </w:style>
  <w:style w:type="paragraph" w:styleId="11">
    <w:name w:val="footer"/>
    <w:basedOn w:val="1"/>
    <w:qFormat/>
    <w:uiPriority w:val="99"/>
    <w:pPr>
      <w:tabs>
        <w:tab w:val="center" w:pos="4153"/>
        <w:tab w:val="right" w:pos="8306"/>
      </w:tabs>
      <w:snapToGrid w:val="0"/>
      <w:jc w:val="left"/>
    </w:pPr>
    <w:rPr>
      <w:rFonts w:ascii="宋体" w:hAnsi="Courier New"/>
      <w:sz w:val="18"/>
      <w:szCs w:val="20"/>
    </w:rPr>
  </w:style>
  <w:style w:type="paragraph" w:styleId="12">
    <w:name w:val="header"/>
    <w:basedOn w:val="1"/>
    <w:qFormat/>
    <w:uiPriority w:val="99"/>
    <w:pPr>
      <w:pBdr>
        <w:bottom w:val="single" w:color="auto" w:sz="6" w:space="1"/>
      </w:pBdr>
      <w:tabs>
        <w:tab w:val="center" w:pos="4153"/>
        <w:tab w:val="right" w:pos="8306"/>
      </w:tabs>
      <w:snapToGrid w:val="0"/>
      <w:jc w:val="center"/>
    </w:pPr>
    <w:rPr>
      <w:sz w:val="18"/>
      <w:szCs w:val="20"/>
    </w:rPr>
  </w:style>
  <w:style w:type="paragraph" w:styleId="13">
    <w:name w:val="toc 1"/>
    <w:basedOn w:val="5"/>
    <w:next w:val="1"/>
    <w:qFormat/>
    <w:uiPriority w:val="39"/>
    <w:pPr>
      <w:tabs>
        <w:tab w:val="right" w:leader="dot" w:pos="8280"/>
      </w:tabs>
      <w:spacing w:line="240" w:lineRule="auto"/>
      <w:ind w:left="3616" w:leftChars="581" w:right="1132" w:hanging="2396" w:hangingChars="459"/>
      <w:jc w:val="left"/>
    </w:pPr>
    <w:rPr>
      <w:rFonts w:ascii="宋体" w:hAnsi="宋体"/>
      <w:b w:val="0"/>
      <w:bCs/>
      <w:caps/>
      <w:sz w:val="28"/>
      <w:szCs w:val="21"/>
    </w:rPr>
  </w:style>
  <w:style w:type="character" w:styleId="16">
    <w:name w:val="page number"/>
    <w:qFormat/>
    <w:uiPriority w:val="0"/>
  </w:style>
  <w:style w:type="character" w:styleId="17">
    <w:name w:val="Hyperlink"/>
    <w:qFormat/>
    <w:uiPriority w:val="99"/>
    <w:rPr>
      <w:color w:val="0000FF"/>
      <w:u w:val="single"/>
    </w:rPr>
  </w:style>
  <w:style w:type="paragraph" w:customStyle="1" w:styleId="18">
    <w:name w:val="样式 (西文) 宋体 五号 段前: 0 磅 段后: 0 磅"/>
    <w:basedOn w:val="1"/>
    <w:qFormat/>
    <w:uiPriority w:val="0"/>
    <w:pPr>
      <w:autoSpaceDE w:val="0"/>
      <w:autoSpaceDN w:val="0"/>
      <w:adjustRightInd w:val="0"/>
      <w:jc w:val="left"/>
    </w:pPr>
    <w:rPr>
      <w:rFonts w:ascii="宋体" w:hAnsi="宋体" w:cs="宋体"/>
      <w:kern w:val="0"/>
      <w:szCs w:val="28"/>
    </w:rPr>
  </w:style>
  <w:style w:type="character" w:customStyle="1" w:styleId="19">
    <w:name w:val="正文1"/>
    <w:qFormat/>
    <w:uiPriority w:val="0"/>
    <w:rPr>
      <w:rFonts w:ascii="宋体" w:hAnsi="宋体"/>
      <w:color w:val="000000"/>
    </w:rPr>
  </w:style>
  <w:style w:type="paragraph" w:customStyle="1" w:styleId="20">
    <w:name w:val="表格文字"/>
    <w:basedOn w:val="1"/>
    <w:qFormat/>
    <w:uiPriority w:val="0"/>
    <w:rPr>
      <w:sz w:val="24"/>
    </w:rPr>
  </w:style>
  <w:style w:type="paragraph" w:customStyle="1" w:styleId="21">
    <w:name w:val="样式 标题 3 + (中文) 黑体 小四 非加粗 段前: 7.8 磅 段后: 0 磅 行距: 固定值 20 磅"/>
    <w:basedOn w:val="5"/>
    <w:qFormat/>
    <w:uiPriority w:val="0"/>
    <w:pPr>
      <w:spacing w:line="400" w:lineRule="exact"/>
    </w:pPr>
    <w:rPr>
      <w:rFonts w:eastAsia="Arial" w:cs="Arial"/>
      <w:b w:val="0"/>
      <w:bCs/>
      <w:sz w:val="24"/>
    </w:rPr>
  </w:style>
  <w:style w:type="character" w:customStyle="1" w:styleId="22">
    <w:name w:val="批注框文本 Char"/>
    <w:basedOn w:val="15"/>
    <w:link w:val="10"/>
    <w:qFormat/>
    <w:uiPriority w:val="0"/>
    <w:rPr>
      <w:kern w:val="2"/>
      <w:sz w:val="18"/>
      <w:szCs w:val="18"/>
    </w:rPr>
  </w:style>
  <w:style w:type="character" w:customStyle="1" w:styleId="23">
    <w:name w:val="纯文本 Char"/>
    <w:link w:val="9"/>
    <w:qFormat/>
    <w:uiPriority w:val="0"/>
    <w:rPr>
      <w:rFonts w:ascii="宋体" w:hAnsi="Courier New"/>
      <w:kern w:val="2"/>
      <w:sz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101"/>
    <customShpInfo spid="_x0000_s4098"/>
    <customShpInfo spid="_x0000_s4100"/>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19765</Words>
  <Characters>21129</Characters>
  <Lines>197</Lines>
  <Paragraphs>55</Paragraphs>
  <TotalTime>4</TotalTime>
  <ScaleCrop>false</ScaleCrop>
  <LinksUpToDate>false</LinksUpToDate>
  <CharactersWithSpaces>23069</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2019-08-09T07:33:00Z</dcterms:created>
  <dc:creator>何佼</dc:creator>
  <cp:lastModifiedBy>麦子</cp:lastModifiedBy>
  <cp:lastPrinted>2019-08-20T03:56:00Z</cp:lastPrinted>
  <dcterms:modified xsi:type="dcterms:W3CDTF">2019-08-21T01:46:10Z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